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208915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00" w:right="60" w:hanging="356"/>
        <w:spacing w:after="0" w:line="256" w:lineRule="auto"/>
        <w:tabs>
          <w:tab w:leader="none" w:pos="6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120" w:hanging="356"/>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hanging="356"/>
        <w:spacing w:after="0"/>
        <w:tabs>
          <w:tab w:leader="none" w:pos="60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1"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1934</w:t>
      </w:r>
    </w:p>
    <w:p>
      <w:pPr>
        <w:ind w:left="600"/>
        <w:spacing w:after="0"/>
        <w:tabs>
          <w:tab w:leader="none" w:pos="3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hanging="356"/>
        <w:spacing w:after="0" w:line="256" w:lineRule="auto"/>
        <w:tabs>
          <w:tab w:leader="none" w:pos="6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Date of event requiring this shell company report . . . . . . . . . . . . . . . . .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 000-30666</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26/F, SP Tower 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Tsinghua Science Park Building 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Onward Choi</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26/F, SP Tower 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Tsinghua Science Park Building 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Phone (86 10) 8255-8163</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Facsimile (86 10) 8261 8627</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American Depositary Shares, each representing 25 ordinary shares, par value US$0.0001 per share,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NASDAQ Global Select Market</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(Title of Each Class and 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31"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3,268,019,356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 (d) of the Securities Exchange Act of 1934.</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2"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70" w:lineRule="exact"/>
        <w:rPr>
          <w:sz w:val="20"/>
          <w:szCs w:val="20"/>
          <w:color w:val="auto"/>
        </w:rPr>
      </w:pPr>
    </w:p>
    <w:p>
      <w:pPr>
        <w:ind w:left="960"/>
        <w:spacing w:after="0"/>
        <w:tabs>
          <w:tab w:leader="none" w:pos="5040" w:val="left"/>
          <w:tab w:leader="none" w:pos="87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60"/>
          </w:cols>
          <w:pgMar w:left="240" w:top="368" w:right="199" w:bottom="0" w:gutter="0" w:footer="0" w:header="0"/>
        </w:sectPr>
      </w:pP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Other o</w:t>
      </w:r>
    </w:p>
    <w:p>
      <w:pPr>
        <w:spacing w:after="0" w:line="441" w:lineRule="exact"/>
        <w:rPr>
          <w:sz w:val="20"/>
          <w:szCs w:val="20"/>
          <w:color w:val="auto"/>
        </w:rPr>
      </w:pPr>
    </w:p>
    <w:p>
      <w:pPr>
        <w:sectPr>
          <w:pgSz w:w="11900" w:h="16838" w:orient="portrait"/>
          <w:cols w:equalWidth="0" w:num="3">
            <w:col w:w="3080" w:space="720"/>
            <w:col w:w="5080" w:space="720"/>
            <w:col w:w="1860"/>
          </w:cols>
          <w:pgMar w:left="240" w:top="368" w:right="199"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6"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o Item 17  o Item 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80" w:type="dxa"/>
            <w:vAlign w:val="bottom"/>
          </w:tcPr>
          <w:p>
            <w:pPr>
              <w:ind w:left="4420"/>
              <w:spacing w:after="0"/>
              <w:rPr>
                <w:sz w:val="20"/>
                <w:szCs w:val="20"/>
                <w:color w:val="auto"/>
              </w:rPr>
            </w:pPr>
            <w:r>
              <w:rPr>
                <w:rFonts w:ascii="Arial" w:cs="Arial" w:eastAsia="Arial" w:hAnsi="Arial"/>
                <w:sz w:val="18"/>
                <w:szCs w:val="18"/>
                <w:color w:val="auto"/>
                <w:w w:val="95"/>
              </w:rPr>
              <w:t>o Yes</w:t>
            </w:r>
          </w:p>
        </w:tc>
        <w:tc>
          <w:tcPr>
            <w:tcW w:w="460" w:type="dxa"/>
            <w:vAlign w:val="bottom"/>
          </w:tcPr>
          <w:p>
            <w:pPr>
              <w:jc w:val="right"/>
              <w:spacing w:after="0"/>
              <w:rPr>
                <w:sz w:val="20"/>
                <w:szCs w:val="20"/>
                <w:color w:val="auto"/>
              </w:rPr>
            </w:pPr>
            <w:r>
              <w:rPr>
                <w:rFonts w:ascii="Arial" w:cs="Arial" w:eastAsia="Arial" w:hAnsi="Arial"/>
                <w:sz w:val="18"/>
                <w:szCs w:val="18"/>
                <w:color w:val="auto"/>
              </w:rPr>
              <w:t>o No</w:t>
            </w:r>
          </w:p>
        </w:tc>
      </w:tr>
      <w:tr>
        <w:trPr>
          <w:trHeight w:val="348"/>
        </w:trPr>
        <w:tc>
          <w:tcPr>
            <w:tcW w:w="5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r>
      <w:tr>
        <w:trPr>
          <w:trHeight w:val="523"/>
        </w:trPr>
        <w:tc>
          <w:tcPr>
            <w:tcW w:w="176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60" w:type="dxa"/>
            <w:vAlign w:val="bottom"/>
            <w:gridSpan w:val="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r>
      <w:tr>
        <w:trPr>
          <w:trHeight w:val="392"/>
        </w:trPr>
        <w:tc>
          <w:tcPr>
            <w:tcW w:w="176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INTRODUCTION</w:t>
              </w:r>
            </w:hyperlink>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40" w:type="dxa"/>
            <w:vAlign w:val="bottom"/>
            <w:tcBorders>
              <w:top w:val="single" w:sz="8" w:color="0000EE"/>
            </w:tcBorders>
            <w:gridSpan w:val="4"/>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0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4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Identity of Directors, Senior Management and Advisers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2.</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Offer Statistics and Expected Timetable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3.</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Information on the Company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38">
              <w:r>
                <w:rPr>
                  <w:rFonts w:ascii="Arial" w:cs="Arial" w:eastAsia="Arial" w:hAnsi="Arial"/>
                  <w:sz w:val="18"/>
                  <w:szCs w:val="18"/>
                  <w:color w:val="0000EE"/>
                  <w:w w:val="80"/>
                </w:rPr>
                <w:t>Item 4A.</w:t>
              </w:r>
            </w:hyperlink>
          </w:p>
        </w:tc>
        <w:tc>
          <w:tcPr>
            <w:tcW w:w="680" w:type="dxa"/>
            <w:vAlign w:val="bottom"/>
            <w:gridSpan w:val="3"/>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Item 5.</w:t>
              </w:r>
            </w:hyperlink>
          </w:p>
        </w:tc>
        <w:tc>
          <w:tcPr>
            <w:tcW w:w="680" w:type="dxa"/>
            <w:vAlign w:val="bottom"/>
            <w:gridSpan w:val="3"/>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Operating and Financial Review and Prospects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6.</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Directors, Senior Management and Employees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Item 7.</w:t>
              </w:r>
            </w:hyperlink>
          </w:p>
        </w:tc>
        <w:tc>
          <w:tcPr>
            <w:tcW w:w="680" w:type="dxa"/>
            <w:vAlign w:val="bottom"/>
            <w:gridSpan w:val="3"/>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Major Shareholders and Related Party Transactions</w:t>
              </w:r>
            </w:hyperlink>
          </w:p>
        </w:tc>
        <w:tc>
          <w:tcPr>
            <w:tcW w:w="552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8.</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9.</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The Offer and Listing</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5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10.</w:t>
              </w:r>
            </w:hyperlink>
          </w:p>
        </w:tc>
        <w:tc>
          <w:tcPr>
            <w:tcW w:w="680" w:type="dxa"/>
            <w:vAlign w:val="bottom"/>
            <w:gridSpan w:val="3"/>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Additional Information</w:t>
              </w:r>
            </w:hyperlink>
          </w:p>
        </w:tc>
        <w:tc>
          <w:tcPr>
            <w:tcW w:w="756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500" w:type="dxa"/>
            <w:vAlign w:val="bottom"/>
          </w:tcPr>
          <w:p>
            <w:pPr>
              <w:spacing w:after="0"/>
              <w:rPr>
                <w:sz w:val="17"/>
                <w:szCs w:val="17"/>
                <w:color w:val="auto"/>
              </w:rPr>
            </w:pPr>
          </w:p>
        </w:tc>
        <w:tc>
          <w:tcPr>
            <w:tcW w:w="1260" w:type="dxa"/>
            <w:vAlign w:val="bottom"/>
            <w:gridSpan w:val="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11.</w:t>
              </w:r>
            </w:hyperlink>
          </w:p>
        </w:tc>
        <w:tc>
          <w:tcPr>
            <w:tcW w:w="9240" w:type="dxa"/>
            <w:vAlign w:val="bottom"/>
            <w:gridSpan w:val="1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5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80" w:type="dxa"/>
            <w:vAlign w:val="bottom"/>
            <w:gridSpan w:val="8"/>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2">
              <w:r>
                <w:rPr>
                  <w:rFonts w:ascii="Arial" w:cs="Arial" w:eastAsia="Arial" w:hAnsi="Arial"/>
                  <w:sz w:val="18"/>
                  <w:szCs w:val="18"/>
                  <w:color w:val="0000EE"/>
                  <w:w w:val="82"/>
                </w:rPr>
                <w:t>Item 12.</w:t>
              </w:r>
            </w:hyperlink>
          </w:p>
        </w:tc>
        <w:tc>
          <w:tcPr>
            <w:tcW w:w="680" w:type="dxa"/>
            <w:vAlign w:val="bottom"/>
            <w:gridSpan w:val="3"/>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Description of Securities Other than Equity Securities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-3114675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-3114675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760" w:type="dxa"/>
            <w:vAlign w:val="bottom"/>
            <w:gridSpan w:val="8"/>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w:t>
              </w:r>
            </w:hyperlink>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Item 13.</w:t>
              </w:r>
            </w:hyperlink>
          </w:p>
        </w:tc>
        <w:tc>
          <w:tcPr>
            <w:tcW w:w="660" w:type="dxa"/>
            <w:vAlign w:val="bottom"/>
            <w:gridSpan w:val="4"/>
          </w:tcPr>
          <w:p>
            <w:pPr>
              <w:spacing w:after="0"/>
              <w:rPr>
                <w:sz w:val="24"/>
                <w:szCs w:val="24"/>
                <w:color w:val="auto"/>
              </w:rPr>
            </w:pPr>
          </w:p>
        </w:tc>
        <w:tc>
          <w:tcPr>
            <w:tcW w:w="754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Defaults, Dividend Arrearages and Delinquencies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Item 14.</w:t>
              </w:r>
            </w:hyperlink>
          </w:p>
        </w:tc>
        <w:tc>
          <w:tcPr>
            <w:tcW w:w="660" w:type="dxa"/>
            <w:vAlign w:val="bottom"/>
            <w:gridSpan w:val="4"/>
          </w:tcPr>
          <w:p>
            <w:pPr>
              <w:spacing w:after="0"/>
              <w:rPr>
                <w:sz w:val="17"/>
                <w:szCs w:val="17"/>
                <w:color w:val="auto"/>
              </w:rPr>
            </w:pPr>
          </w:p>
        </w:tc>
        <w:tc>
          <w:tcPr>
            <w:tcW w:w="7540" w:type="dxa"/>
            <w:vAlign w:val="bottom"/>
            <w:gridSpan w:val="1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Material Modifications to the Rights of Security Holders and Use of Proceeds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2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Item 15.</w:t>
              </w:r>
            </w:hyperlink>
          </w:p>
        </w:tc>
        <w:tc>
          <w:tcPr>
            <w:tcW w:w="6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3820" w:type="dxa"/>
            <w:vAlign w:val="bottom"/>
            <w:tcBorders>
              <w:top w:val="single" w:sz="8" w:color="0000EE"/>
            </w:tcBorders>
            <w:gridSpan w:val="7"/>
          </w:tcPr>
          <w:p>
            <w:pPr>
              <w:spacing w:after="0"/>
              <w:rPr>
                <w:sz w:val="17"/>
                <w:szCs w:val="17"/>
                <w:color w:val="auto"/>
              </w:rPr>
            </w:pPr>
          </w:p>
        </w:tc>
        <w:tc>
          <w:tcPr>
            <w:tcW w:w="194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20" w:type="dxa"/>
            <w:vAlign w:val="bottom"/>
          </w:tcPr>
          <w:p>
            <w:pPr>
              <w:spacing w:after="0"/>
              <w:rPr>
                <w:sz w:val="17"/>
                <w:szCs w:val="17"/>
                <w:color w:val="auto"/>
              </w:rPr>
            </w:pPr>
          </w:p>
        </w:tc>
        <w:tc>
          <w:tcPr>
            <w:tcW w:w="1240" w:type="dxa"/>
            <w:vAlign w:val="bottom"/>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16A.</w:t>
              </w:r>
            </w:hyperlink>
          </w:p>
        </w:tc>
        <w:tc>
          <w:tcPr>
            <w:tcW w:w="7540" w:type="dxa"/>
            <w:vAlign w:val="bottom"/>
            <w:gridSpan w:val="1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Audit Committee Financial Expert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Item 16B.</w:t>
              </w:r>
            </w:hyperlink>
          </w:p>
        </w:tc>
        <w:tc>
          <w:tcPr>
            <w:tcW w:w="540" w:type="dxa"/>
            <w:vAlign w:val="bottom"/>
            <w:gridSpan w:val="2"/>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4"/>
          </w:tcPr>
          <w:p>
            <w:pPr>
              <w:spacing w:after="0"/>
              <w:rPr>
                <w:sz w:val="17"/>
                <w:szCs w:val="17"/>
                <w:color w:val="auto"/>
              </w:rPr>
            </w:pPr>
          </w:p>
        </w:tc>
        <w:tc>
          <w:tcPr>
            <w:tcW w:w="5040" w:type="dxa"/>
            <w:vAlign w:val="bottom"/>
            <w:gridSpan w:val="7"/>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20" w:type="dxa"/>
            <w:vAlign w:val="bottom"/>
          </w:tcPr>
          <w:p>
            <w:pPr>
              <w:spacing w:after="0"/>
              <w:rPr>
                <w:sz w:val="17"/>
                <w:szCs w:val="17"/>
                <w:color w:val="auto"/>
              </w:rPr>
            </w:pPr>
          </w:p>
        </w:tc>
        <w:tc>
          <w:tcPr>
            <w:tcW w:w="700" w:type="dxa"/>
            <w:vAlign w:val="bottom"/>
            <w:gridSpan w:val="5"/>
          </w:tcPr>
          <w:p>
            <w:pPr>
              <w:spacing w:after="0" w:line="196" w:lineRule="exact"/>
              <w:rPr>
                <w:rFonts w:ascii="Arial" w:cs="Arial" w:eastAsia="Arial" w:hAnsi="Arial"/>
                <w:sz w:val="18"/>
                <w:szCs w:val="18"/>
                <w:color w:val="0000EE"/>
                <w:w w:val="84"/>
              </w:rPr>
            </w:pPr>
            <w:hyperlink w:anchor="page73">
              <w:r>
                <w:rPr>
                  <w:rFonts w:ascii="Arial" w:cs="Arial" w:eastAsia="Arial" w:hAnsi="Arial"/>
                  <w:sz w:val="18"/>
                  <w:szCs w:val="18"/>
                  <w:color w:val="0000EE"/>
                  <w:w w:val="84"/>
                </w:rPr>
                <w:t>Item 16C.</w:t>
              </w:r>
            </w:hyperlink>
          </w:p>
        </w:tc>
        <w:tc>
          <w:tcPr>
            <w:tcW w:w="540" w:type="dxa"/>
            <w:vAlign w:val="bottom"/>
            <w:gridSpan w:val="2"/>
          </w:tcPr>
          <w:p>
            <w:pPr>
              <w:spacing w:after="0"/>
              <w:rPr>
                <w:sz w:val="17"/>
                <w:szCs w:val="17"/>
                <w:color w:val="auto"/>
              </w:rPr>
            </w:pPr>
          </w:p>
        </w:tc>
        <w:tc>
          <w:tcPr>
            <w:tcW w:w="7540" w:type="dxa"/>
            <w:vAlign w:val="bottom"/>
            <w:gridSpan w:val="1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Accountant Fees and Services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40" w:type="dxa"/>
            <w:vAlign w:val="bottom"/>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16D.</w:t>
              </w:r>
            </w:hyperlink>
          </w:p>
        </w:tc>
        <w:tc>
          <w:tcPr>
            <w:tcW w:w="7540" w:type="dxa"/>
            <w:vAlign w:val="bottom"/>
            <w:gridSpan w:val="1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Exemptions from the Listing Standards for Audit Committees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00" w:type="dxa"/>
            <w:vAlign w:val="bottom"/>
            <w:gridSpan w:val="5"/>
          </w:tcPr>
          <w:p>
            <w:pPr>
              <w:spacing w:after="0" w:line="196"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Item 16E.</w:t>
              </w:r>
            </w:hyperlink>
          </w:p>
        </w:tc>
        <w:tc>
          <w:tcPr>
            <w:tcW w:w="540" w:type="dxa"/>
            <w:vAlign w:val="bottom"/>
            <w:gridSpan w:val="2"/>
          </w:tcPr>
          <w:p>
            <w:pPr>
              <w:spacing w:after="0"/>
              <w:rPr>
                <w:sz w:val="17"/>
                <w:szCs w:val="17"/>
                <w:color w:val="auto"/>
              </w:rPr>
            </w:pPr>
          </w:p>
        </w:tc>
        <w:tc>
          <w:tcPr>
            <w:tcW w:w="7540" w:type="dxa"/>
            <w:vAlign w:val="bottom"/>
            <w:gridSpan w:val="1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Purchases of Equity Securities by the Issuer and Affiliated Purchasers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Item 16F.</w:t>
              </w:r>
            </w:hyperlink>
          </w:p>
        </w:tc>
        <w:tc>
          <w:tcPr>
            <w:tcW w:w="40" w:type="dxa"/>
            <w:vAlign w:val="bottom"/>
            <w:tcBorders>
              <w:top w:val="single" w:sz="8" w:color="0000EE"/>
            </w:tcBorders>
          </w:tcPr>
          <w:p>
            <w:pPr>
              <w:spacing w:after="0"/>
              <w:rPr>
                <w:sz w:val="17"/>
                <w:szCs w:val="17"/>
                <w:color w:val="auto"/>
              </w:rPr>
            </w:pPr>
          </w:p>
        </w:tc>
        <w:tc>
          <w:tcPr>
            <w:tcW w:w="540" w:type="dxa"/>
            <w:vAlign w:val="bottom"/>
            <w:gridSpan w:val="2"/>
          </w:tcPr>
          <w:p>
            <w:pPr>
              <w:spacing w:after="0"/>
              <w:rPr>
                <w:sz w:val="17"/>
                <w:szCs w:val="17"/>
                <w:color w:val="auto"/>
              </w:rPr>
            </w:pPr>
          </w:p>
        </w:tc>
        <w:tc>
          <w:tcPr>
            <w:tcW w:w="3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Change in Registrants’ Certifying Accountant</w:t>
              </w:r>
            </w:hyperlink>
          </w:p>
        </w:tc>
        <w:tc>
          <w:tcPr>
            <w:tcW w:w="1720" w:type="dxa"/>
            <w:vAlign w:val="bottom"/>
            <w:tcBorders>
              <w:top w:val="single" w:sz="8" w:color="0000EE"/>
            </w:tcBorders>
            <w:gridSpan w:val="3"/>
          </w:tcPr>
          <w:p>
            <w:pPr>
              <w:spacing w:after="0"/>
              <w:rPr>
                <w:sz w:val="17"/>
                <w:szCs w:val="17"/>
                <w:color w:val="auto"/>
              </w:rPr>
            </w:pPr>
          </w:p>
        </w:tc>
        <w:tc>
          <w:tcPr>
            <w:tcW w:w="2500" w:type="dxa"/>
            <w:vAlign w:val="bottom"/>
            <w:gridSpan w:val="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20" w:type="dxa"/>
            <w:vAlign w:val="bottom"/>
          </w:tcPr>
          <w:p>
            <w:pPr>
              <w:spacing w:after="0"/>
              <w:rPr>
                <w:sz w:val="17"/>
                <w:szCs w:val="17"/>
                <w:color w:val="auto"/>
              </w:rPr>
            </w:pPr>
          </w:p>
        </w:tc>
        <w:tc>
          <w:tcPr>
            <w:tcW w:w="7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Item 16G.</w:t>
              </w:r>
            </w:hyperlink>
          </w:p>
        </w:tc>
        <w:tc>
          <w:tcPr>
            <w:tcW w:w="52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Corporate Governance</w:t>
              </w:r>
            </w:hyperlink>
          </w:p>
        </w:tc>
        <w:tc>
          <w:tcPr>
            <w:tcW w:w="5840" w:type="dxa"/>
            <w:vAlign w:val="bottom"/>
            <w:gridSpan w:val="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20" w:type="dxa"/>
            <w:vAlign w:val="bottom"/>
          </w:tcPr>
          <w:p>
            <w:pPr>
              <w:spacing w:after="0"/>
              <w:rPr>
                <w:sz w:val="17"/>
                <w:szCs w:val="17"/>
                <w:color w:val="auto"/>
              </w:rPr>
            </w:pPr>
          </w:p>
        </w:tc>
        <w:tc>
          <w:tcPr>
            <w:tcW w:w="1240" w:type="dxa"/>
            <w:vAlign w:val="bottom"/>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16H.</w:t>
              </w:r>
            </w:hyperlink>
          </w:p>
        </w:tc>
        <w:tc>
          <w:tcPr>
            <w:tcW w:w="7540" w:type="dxa"/>
            <w:vAlign w:val="bottom"/>
            <w:gridSpan w:val="1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Mine Safety Disclosure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92"/>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10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2"/>
        </w:trPr>
        <w:tc>
          <w:tcPr>
            <w:tcW w:w="52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Item 17.</w:t>
              </w:r>
            </w:hyperlink>
          </w:p>
        </w:tc>
        <w:tc>
          <w:tcPr>
            <w:tcW w:w="660" w:type="dxa"/>
            <w:vAlign w:val="bottom"/>
            <w:gridSpan w:val="4"/>
          </w:tcPr>
          <w:p>
            <w:pPr>
              <w:spacing w:after="0"/>
              <w:rPr>
                <w:sz w:val="24"/>
                <w:szCs w:val="24"/>
                <w:color w:val="auto"/>
              </w:rPr>
            </w:pPr>
          </w:p>
        </w:tc>
        <w:tc>
          <w:tcPr>
            <w:tcW w:w="754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Financial Statements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Item 18.</w:t>
              </w:r>
            </w:hyperlink>
          </w:p>
        </w:tc>
        <w:tc>
          <w:tcPr>
            <w:tcW w:w="660" w:type="dxa"/>
            <w:vAlign w:val="bottom"/>
            <w:gridSpan w:val="4"/>
          </w:tcPr>
          <w:p>
            <w:pPr>
              <w:spacing w:after="0"/>
              <w:rPr>
                <w:sz w:val="17"/>
                <w:szCs w:val="17"/>
                <w:color w:val="auto"/>
              </w:rPr>
            </w:pPr>
          </w:p>
        </w:tc>
        <w:tc>
          <w:tcPr>
            <w:tcW w:w="7540" w:type="dxa"/>
            <w:vAlign w:val="bottom"/>
            <w:gridSpan w:val="1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Financial Statements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Item 19.</w:t>
              </w:r>
            </w:hyperlink>
          </w:p>
        </w:tc>
        <w:tc>
          <w:tcPr>
            <w:tcW w:w="660" w:type="dxa"/>
            <w:vAlign w:val="bottom"/>
            <w:gridSpan w:val="4"/>
          </w:tcPr>
          <w:p>
            <w:pPr>
              <w:spacing w:after="0"/>
              <w:rPr>
                <w:sz w:val="17"/>
                <w:szCs w:val="17"/>
                <w:color w:val="auto"/>
              </w:rPr>
            </w:pPr>
          </w:p>
        </w:tc>
        <w:tc>
          <w:tcPr>
            <w:tcW w:w="15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6040" w:type="dxa"/>
            <w:vAlign w:val="bottom"/>
            <w:gridSpan w:val="1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368"/>
        </w:trPr>
        <w:tc>
          <w:tcPr>
            <w:tcW w:w="520" w:type="dxa"/>
            <w:vAlign w:val="bottom"/>
            <w:tcBorders>
              <w:bottom w:val="single" w:sz="8" w:color="010101"/>
            </w:tcBorders>
          </w:tcPr>
          <w:p>
            <w:pPr>
              <w:spacing w:after="0"/>
              <w:rPr>
                <w:sz w:val="24"/>
                <w:szCs w:val="24"/>
                <w:color w:val="auto"/>
              </w:rPr>
            </w:pPr>
          </w:p>
        </w:tc>
        <w:tc>
          <w:tcPr>
            <w:tcW w:w="14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360" w:type="dxa"/>
            <w:vAlign w:val="bottom"/>
            <w:tcBorders>
              <w:top w:val="single" w:sz="8" w:color="0000EE"/>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600" w:type="dxa"/>
            <w:vAlign w:val="bottom"/>
            <w:tcBorders>
              <w:top w:val="single" w:sz="8" w:color="0000EE"/>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21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as of December 31, 2013 and 2014 and for the years ended December 31, 2012, 2013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54" w:lineRule="exact"/>
        <w:rPr>
          <w:sz w:val="20"/>
          <w:szCs w:val="20"/>
          <w:color w:val="auto"/>
        </w:rPr>
      </w:pPr>
    </w:p>
    <w:p>
      <w:pPr>
        <w:ind w:left="1020" w:right="100" w:hanging="502"/>
        <w:spacing w:after="0" w:line="264"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online game market will not continue to grow or that we will not be able to maintain our leading position in that market, which could occur if, for example, our new online games or expansion packs and other improvements to our existing games do not become as popular as management anticipates;</w:t>
      </w:r>
    </w:p>
    <w:p>
      <w:pPr>
        <w:spacing w:after="0" w:line="181" w:lineRule="exact"/>
        <w:rPr>
          <w:rFonts w:ascii="Arial" w:cs="Arial" w:eastAsia="Arial" w:hAnsi="Arial"/>
          <w:sz w:val="18"/>
          <w:szCs w:val="18"/>
          <w:color w:val="auto"/>
        </w:rPr>
      </w:pPr>
    </w:p>
    <w:p>
      <w:pPr>
        <w:ind w:left="1020" w:right="560" w:hanging="502"/>
        <w:spacing w:after="0" w:line="308" w:lineRule="auto"/>
        <w:tabs>
          <w:tab w:leader="none" w:pos="98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that we will not be successful in our product diversification efforts, including our focus on item- and fee-based games and mobile games, entry into strategic licensing arrangements, and our expansion of our mobile Internet and e-commerce offerings;</w:t>
      </w:r>
    </w:p>
    <w:p>
      <w:pPr>
        <w:spacing w:after="0" w:line="146" w:lineRule="exact"/>
        <w:rPr>
          <w:rFonts w:ascii="Arial" w:cs="Arial" w:eastAsia="Arial" w:hAnsi="Arial"/>
          <w:sz w:val="17"/>
          <w:szCs w:val="17"/>
          <w:color w:val="auto"/>
        </w:rPr>
      </w:pPr>
    </w:p>
    <w:p>
      <w:pPr>
        <w:ind w:left="1020" w:right="400" w:hanging="502"/>
        <w:spacing w:after="0" w:line="277"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changes in Chinese government regulation of the online game or e-commerce markets that limit future growth of our revenues or causes revenues to decline;</w:t>
      </w:r>
    </w:p>
    <w:p>
      <w:pPr>
        <w:spacing w:after="0" w:line="170" w:lineRule="exact"/>
        <w:rPr>
          <w:rFonts w:ascii="Arial" w:cs="Arial" w:eastAsia="Arial" w:hAnsi="Arial"/>
          <w:sz w:val="18"/>
          <w:szCs w:val="18"/>
          <w:color w:val="auto"/>
        </w:rPr>
      </w:pPr>
    </w:p>
    <w:p>
      <w:pPr>
        <w:ind w:left="1020" w:right="80" w:hanging="502"/>
        <w:spacing w:after="0" w:line="277"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not be able to continuously develop new and creative online services or that we will not be able to set, or follow in a timely manner, trends in the market;</w:t>
      </w:r>
    </w:p>
    <w:p>
      <w:pPr>
        <w:spacing w:after="0" w:line="170" w:lineRule="exact"/>
        <w:rPr>
          <w:rFonts w:ascii="Arial" w:cs="Arial" w:eastAsia="Arial" w:hAnsi="Arial"/>
          <w:sz w:val="18"/>
          <w:szCs w:val="18"/>
          <w:color w:val="auto"/>
        </w:rPr>
      </w:pPr>
    </w:p>
    <w:p>
      <w:pPr>
        <w:ind w:left="1020" w:right="220" w:hanging="502"/>
        <w:spacing w:after="0" w:line="264"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Internet advertising market in China will not continue to grow and will remain subject to intense competition, and the risk that investments by us in our content and services may not increase the appeal of our websites among Internet users or result in increased advertising revenues;</w:t>
      </w:r>
    </w:p>
    <w:p>
      <w:pPr>
        <w:spacing w:after="0" w:line="181" w:lineRule="exact"/>
        <w:rPr>
          <w:rFonts w:ascii="Arial" w:cs="Arial" w:eastAsia="Arial" w:hAnsi="Arial"/>
          <w:sz w:val="18"/>
          <w:szCs w:val="18"/>
          <w:color w:val="auto"/>
        </w:rPr>
      </w:pPr>
    </w:p>
    <w:p>
      <w:pPr>
        <w:ind w:left="1000" w:hanging="48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able to control our expenses in future periods;</w:t>
      </w:r>
    </w:p>
    <w:p>
      <w:pPr>
        <w:spacing w:after="0" w:line="225" w:lineRule="exact"/>
        <w:rPr>
          <w:rFonts w:ascii="Arial" w:cs="Arial" w:eastAsia="Arial" w:hAnsi="Arial"/>
          <w:sz w:val="18"/>
          <w:szCs w:val="18"/>
          <w:color w:val="auto"/>
        </w:rPr>
      </w:pPr>
    </w:p>
    <w:p>
      <w:pPr>
        <w:ind w:left="1020" w:right="480" w:hanging="506"/>
        <w:spacing w:after="0" w:line="342" w:lineRule="auto"/>
        <w:tabs>
          <w:tab w:leader="none" w:pos="991"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23" w:lineRule="exact"/>
        <w:rPr>
          <w:rFonts w:ascii="Arial" w:cs="Arial" w:eastAsia="Arial" w:hAnsi="Arial"/>
          <w:sz w:val="16"/>
          <w:szCs w:val="16"/>
          <w:color w:val="auto"/>
        </w:rPr>
      </w:pPr>
    </w:p>
    <w:p>
      <w:pPr>
        <w:ind w:left="1020" w:right="140" w:hanging="506"/>
        <w:spacing w:after="0" w:line="277" w:lineRule="auto"/>
        <w:tabs>
          <w:tab w:leader="none" w:pos="10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fluctuations in the value of the Renminbi with respect to other currencies could adversely affect our business and financial results; and</w:t>
      </w:r>
    </w:p>
    <w:p>
      <w:pPr>
        <w:spacing w:after="0" w:line="170" w:lineRule="exact"/>
        <w:rPr>
          <w:rFonts w:ascii="Arial" w:cs="Arial" w:eastAsia="Arial" w:hAnsi="Arial"/>
          <w:sz w:val="18"/>
          <w:szCs w:val="18"/>
          <w:color w:val="auto"/>
        </w:rPr>
      </w:pPr>
    </w:p>
    <w:p>
      <w:pPr>
        <w:ind w:left="1000" w:hanging="48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outlined in our filings with the Securities and Exchange Commission, or the SEC.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undertake any obligation to update this forward-looking information, except as required under applicable law.</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60"/>
          </w:cols>
          <w:pgMar w:left="240" w:top="108" w:right="199" w:bottom="0" w:gutter="0" w:footer="0" w:header="0"/>
        </w:sectPr>
      </w:pPr>
    </w:p>
    <w:bookmarkStart w:id="3" w:name="page4"/>
    <w:bookmarkEnd w:id="3"/>
    <w:p>
      <w:pPr>
        <w:spacing w:after="0" w:line="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22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firstLine="506"/>
        <w:spacing w:after="0" w:line="255" w:lineRule="auto"/>
        <w:rPr>
          <w:sz w:val="20"/>
          <w:szCs w:val="20"/>
          <w:color w:val="auto"/>
        </w:rPr>
      </w:pPr>
      <w:r>
        <w:rPr>
          <w:rFonts w:ascii="Arial" w:cs="Arial" w:eastAsia="Arial" w:hAnsi="Arial"/>
          <w:sz w:val="18"/>
          <w:szCs w:val="18"/>
          <w:color w:val="auto"/>
        </w:rPr>
        <w:t>The following table presents the selected consolidated financial information for our business. You should read the following information in conjunction with Item 5 “Operating and Financial Review and Prospects” below. The following data for the years ended December 31, 2012, 2013 and 2014 and as of December 31, 2013 and 2014 have been derived from our audited consolidated financial statements for those years, which were prepared in accordance with generally accepted accounting principles in the United States, or U.S. GAAP, and should be read in conjunction with those statements, which are included in this annual report beginning on page F-1. The following data for the years ended December 31, 2010 and 2011 and as of December 31, 2010, 2011 and 2012 have been derived from our audited consolidated financial statements for those years, which were prepared in accordance with U.S. GAAP and are not included in this annual report.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1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260" w:type="dxa"/>
            <w:vAlign w:val="bottom"/>
            <w:gridSpan w:val="2"/>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1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14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140" w:type="dxa"/>
            <w:vAlign w:val="bottom"/>
            <w:tcBorders>
              <w:top w:val="single" w:sz="8" w:color="auto"/>
            </w:tcBorders>
          </w:tcPr>
          <w:p>
            <w:pPr>
              <w:jc w:val="right"/>
              <w:ind w:right="311"/>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right"/>
              <w:ind w:right="311"/>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US$ (Note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(in thousands, except per share/ADS data)</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 of Operations and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Online game services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4,944,439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6,552,431</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7,287,063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8,308,618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9,815,019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Advertising services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633,209</w:t>
            </w:r>
          </w:p>
        </w:tc>
        <w:tc>
          <w:tcPr>
            <w:tcW w:w="1160" w:type="dxa"/>
            <w:vAlign w:val="bottom"/>
          </w:tcPr>
          <w:p>
            <w:pPr>
              <w:jc w:val="right"/>
              <w:spacing w:after="0"/>
              <w:rPr>
                <w:sz w:val="20"/>
                <w:szCs w:val="20"/>
                <w:color w:val="auto"/>
              </w:rPr>
            </w:pPr>
            <w:r>
              <w:rPr>
                <w:rFonts w:ascii="Arial" w:cs="Arial" w:eastAsia="Arial" w:hAnsi="Arial"/>
                <w:sz w:val="18"/>
                <w:szCs w:val="18"/>
                <w:color w:val="auto"/>
              </w:rPr>
              <w:t>795,422</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850,157</w:t>
            </w:r>
          </w:p>
        </w:tc>
        <w:tc>
          <w:tcPr>
            <w:tcW w:w="1160" w:type="dxa"/>
            <w:vAlign w:val="bottom"/>
          </w:tcPr>
          <w:p>
            <w:pPr>
              <w:jc w:val="right"/>
              <w:spacing w:after="0"/>
              <w:rPr>
                <w:sz w:val="20"/>
                <w:szCs w:val="20"/>
                <w:color w:val="auto"/>
              </w:rPr>
            </w:pPr>
            <w:r>
              <w:rPr>
                <w:rFonts w:ascii="Arial" w:cs="Arial" w:eastAsia="Arial" w:hAnsi="Arial"/>
                <w:sz w:val="18"/>
                <w:szCs w:val="18"/>
                <w:color w:val="auto"/>
              </w:rPr>
              <w:t>1,094,623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1,551,652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E-mail, e-commerce and others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82,141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124,898</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242,741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368,014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1,113,773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5,659,789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7,472,751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8,379,961</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9,771,255</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12,480,444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tax 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(152,120)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(182,099)</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(179,005)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(575,080)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(767,610)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revenues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5,507,669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8,200,956</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9,196,175</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11,712,834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(1,798,841)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(2,372,288)</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(2,578,067)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(2,478,516)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(3,261,544)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(525,665)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3,708,828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4,918,364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5,622,889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(656,976)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(849,205)</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(906,707)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(1,093,612)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(1,894,998)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(189,621)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(280,227)</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(286,223)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(349,832)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(467,669)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(317,929)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(465,490)</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(718,315)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(921,618)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(1,323,498)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(213,309)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(1,164,526)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(1,594,922)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(1,911,245)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(2,365,062)</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(3,686,165)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3,323,442</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3,711,644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4,352,597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4,765,125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income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14,128</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43,770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141,001</w:t>
            </w:r>
          </w:p>
        </w:tc>
        <w:tc>
          <w:tcPr>
            <w:tcW w:w="1160" w:type="dxa"/>
            <w:vAlign w:val="bottom"/>
          </w:tcPr>
          <w:p>
            <w:pPr>
              <w:jc w:val="right"/>
              <w:spacing w:after="0"/>
              <w:rPr>
                <w:sz w:val="20"/>
                <w:szCs w:val="20"/>
                <w:color w:val="auto"/>
              </w:rPr>
            </w:pPr>
            <w:r>
              <w:rPr>
                <w:rFonts w:ascii="Arial" w:cs="Arial" w:eastAsia="Arial" w:hAnsi="Arial"/>
                <w:sz w:val="18"/>
                <w:szCs w:val="18"/>
                <w:color w:val="auto"/>
              </w:rPr>
              <w:t>258,053</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423,634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506,181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601,502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Exchange losses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(89,488)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(79,058)</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(17,998)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(19,634)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99,164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99,718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95,136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82,438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2,576,471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3,615,729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4,278,212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4,975,821</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5,458,440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(344,446)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(392,756)</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(691,642)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(530,603)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(662,735)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2,232,025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3,222,973</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3,586,570</w:t>
            </w:r>
          </w:p>
        </w:tc>
        <w:tc>
          <w:tcPr>
            <w:tcW w:w="1160" w:type="dxa"/>
            <w:vAlign w:val="bottom"/>
          </w:tcPr>
          <w:p>
            <w:pPr>
              <w:jc w:val="right"/>
              <w:spacing w:after="0"/>
              <w:rPr>
                <w:sz w:val="20"/>
                <w:szCs w:val="20"/>
                <w:color w:val="auto"/>
              </w:rPr>
            </w:pPr>
            <w:r>
              <w:rPr>
                <w:rFonts w:ascii="Arial" w:cs="Arial" w:eastAsia="Arial" w:hAnsi="Arial"/>
                <w:sz w:val="18"/>
                <w:szCs w:val="18"/>
                <w:color w:val="auto"/>
              </w:rPr>
              <w:t>4,445,218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4,795,705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772,927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Add: Net loss (income) attributable to</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noncontrolling interests and mezzanine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classified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3,747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50,882</w:t>
            </w: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(39,082)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vMerge w:val="continue"/>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2,235,772</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3,234,264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3,637,452</w:t>
            </w:r>
          </w:p>
        </w:tc>
        <w:tc>
          <w:tcPr>
            <w:tcW w:w="22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4,443,910</w:t>
            </w:r>
          </w:p>
        </w:tc>
        <w:tc>
          <w:tcPr>
            <w:tcW w:w="2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4,756,623</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766,628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2,232,025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3,222,973</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3,586,570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4,795,705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Add: Comprehensive loss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attributable to noncontrolling interests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8"/>
              </w:rPr>
              <w:t>and mezzanine classified noncontrolling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3,747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50,882</w:t>
            </w: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(39,082)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vMerge w:val="continue"/>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2,235,772</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3,234,264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3,637,452</w:t>
            </w:r>
          </w:p>
        </w:tc>
        <w:tc>
          <w:tcPr>
            <w:tcW w:w="22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4,443,910</w:t>
            </w:r>
          </w:p>
        </w:tc>
        <w:tc>
          <w:tcPr>
            <w:tcW w:w="2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4,756,623</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766,628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NetEase, Inc.’s shareholders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Cash dividend per share</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2"/>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0.25</w:t>
            </w:r>
          </w:p>
        </w:tc>
        <w:tc>
          <w:tcPr>
            <w:tcW w:w="22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22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0.99</w:t>
            </w:r>
          </w:p>
        </w:tc>
        <w:tc>
          <w:tcPr>
            <w:tcW w:w="1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22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200" w:type="dxa"/>
            <w:vAlign w:val="bottom"/>
            <w:vMerge w:val="restart"/>
          </w:tcPr>
          <w:p>
            <w:pPr>
              <w:spacing w:after="0"/>
              <w:rPr>
                <w:sz w:val="17"/>
                <w:szCs w:val="17"/>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1.46</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 per share, basic</w:t>
            </w:r>
          </w:p>
        </w:tc>
        <w:tc>
          <w:tcPr>
            <w:tcW w:w="11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vMerge w:val="continue"/>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vMerge w:val="restart"/>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per share, diluted</w:t>
            </w:r>
          </w:p>
        </w:tc>
        <w:tc>
          <w:tcPr>
            <w:tcW w:w="11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17.22</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13"/>
                <w:szCs w:val="13"/>
                <w:color w:val="auto"/>
              </w:rPr>
            </w:pP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27.70</w:t>
            </w: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34.21</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36.43</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 per ADS, basic</w:t>
            </w:r>
          </w:p>
        </w:tc>
        <w:tc>
          <w:tcPr>
            <w:tcW w:w="136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3"/>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3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income attributable to NetEase, Inc.’s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shareholders per ADS, diluted</w:t>
            </w:r>
          </w:p>
        </w:tc>
        <w:tc>
          <w:tcPr>
            <w:tcW w:w="1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Weighted average number of ordinary</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3,246,426</w:t>
            </w:r>
          </w:p>
        </w:tc>
        <w:tc>
          <w:tcPr>
            <w:tcW w:w="2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3,265,550</w:t>
            </w:r>
          </w:p>
        </w:tc>
        <w:tc>
          <w:tcPr>
            <w:tcW w:w="2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3,282,663</w:t>
            </w:r>
          </w:p>
        </w:tc>
        <w:tc>
          <w:tcPr>
            <w:tcW w:w="2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3,247,874</w:t>
            </w:r>
          </w:p>
        </w:tc>
        <w:tc>
          <w:tcPr>
            <w:tcW w:w="200" w:type="dxa"/>
            <w:vAlign w:val="bottom"/>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3,264,450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3,264,450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shares outstanding, basic</w:t>
            </w:r>
          </w:p>
        </w:tc>
        <w:tc>
          <w:tcPr>
            <w:tcW w:w="1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Weighted average number of ADS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129,857</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130,622</w:t>
            </w: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131,307</w:t>
            </w:r>
          </w:p>
        </w:tc>
        <w:tc>
          <w:tcPr>
            <w:tcW w:w="22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129,915</w:t>
            </w:r>
          </w:p>
        </w:tc>
        <w:tc>
          <w:tcPr>
            <w:tcW w:w="200" w:type="dxa"/>
            <w:vAlign w:val="bottom"/>
            <w:vMerge w:val="restart"/>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130,578</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130,578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basic</w:t>
            </w:r>
          </w:p>
        </w:tc>
        <w:tc>
          <w:tcPr>
            <w:tcW w:w="11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Weighted average number of ordinary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3,261,886</w:t>
            </w:r>
          </w:p>
        </w:tc>
        <w:tc>
          <w:tcPr>
            <w:tcW w:w="2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3,276,704</w:t>
            </w:r>
          </w:p>
        </w:tc>
        <w:tc>
          <w:tcPr>
            <w:tcW w:w="2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3,288,330</w:t>
            </w:r>
          </w:p>
        </w:tc>
        <w:tc>
          <w:tcPr>
            <w:tcW w:w="2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3,256,297</w:t>
            </w:r>
          </w:p>
        </w:tc>
        <w:tc>
          <w:tcPr>
            <w:tcW w:w="200" w:type="dxa"/>
            <w:vAlign w:val="bottom"/>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3,277,049</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3,277,049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shares outstanding, diluted</w:t>
            </w:r>
          </w:p>
        </w:tc>
        <w:tc>
          <w:tcPr>
            <w:tcW w:w="1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Weighted average number of ADS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130,475</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131,068</w:t>
            </w: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131,533</w:t>
            </w:r>
          </w:p>
        </w:tc>
        <w:tc>
          <w:tcPr>
            <w:tcW w:w="22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130,252</w:t>
            </w:r>
          </w:p>
        </w:tc>
        <w:tc>
          <w:tcPr>
            <w:tcW w:w="200" w:type="dxa"/>
            <w:vAlign w:val="bottom"/>
            <w:vMerge w:val="restart"/>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131,082</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131,082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diluted</w:t>
            </w:r>
          </w:p>
        </w:tc>
        <w:tc>
          <w:tcPr>
            <w:tcW w:w="11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w w:val="99"/>
              </w:rPr>
              <w:t>Share-based compensation cost included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37,342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57,318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100,540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8,123</w:t>
            </w:r>
          </w:p>
        </w:tc>
        <w:tc>
          <w:tcPr>
            <w:tcW w:w="1160" w:type="dxa"/>
            <w:vAlign w:val="bottom"/>
          </w:tcPr>
          <w:p>
            <w:pPr>
              <w:jc w:val="right"/>
              <w:spacing w:after="0"/>
              <w:rPr>
                <w:sz w:val="20"/>
                <w:szCs w:val="20"/>
                <w:color w:val="auto"/>
              </w:rPr>
            </w:pPr>
            <w:r>
              <w:rPr>
                <w:rFonts w:ascii="Arial" w:cs="Arial" w:eastAsia="Arial" w:hAnsi="Arial"/>
                <w:sz w:val="18"/>
                <w:szCs w:val="18"/>
                <w:color w:val="auto"/>
              </w:rPr>
              <w:t>11,357</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13,368</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17,967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23,253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31,580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33,374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25,361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35,460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55,736</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74,283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104,928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297,980</w:t>
            </w:r>
          </w:p>
        </w:tc>
        <w:tc>
          <w:tcPr>
            <w:tcW w:w="1160" w:type="dxa"/>
            <w:vAlign w:val="bottom"/>
          </w:tcPr>
          <w:p>
            <w:pPr>
              <w:jc w:val="right"/>
              <w:spacing w:after="0"/>
              <w:rPr>
                <w:sz w:val="20"/>
                <w:szCs w:val="20"/>
                <w:color w:val="auto"/>
              </w:rPr>
            </w:pPr>
            <w:r>
              <w:rPr>
                <w:rFonts w:ascii="Arial" w:cs="Arial" w:eastAsia="Arial" w:hAnsi="Arial"/>
                <w:sz w:val="18"/>
                <w:szCs w:val="18"/>
                <w:color w:val="auto"/>
              </w:rPr>
              <w:t>410,120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178,654</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218,936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537,376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by/(used in):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2,854,954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4,072,948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4,224,290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5,235,890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5,873,023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946,559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(2,621,162)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(3,208,233)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(4,454,038)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(5,453,279)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(4,520,166)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24,139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73,544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(390,230)</w:t>
            </w:r>
          </w:p>
        </w:tc>
        <w:tc>
          <w:tcPr>
            <w:tcW w:w="3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86,848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(778,442)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(125,462)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As of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US$ (Note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1"/>
              </w:rPr>
              <w:t>(in thousands )</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1,285,137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2,214,618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1,590,769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1,458,298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2,021,453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8,193,972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9,704,777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13,098,661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16,625,468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18,496,574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Property, equipment and software,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755,778</w:t>
            </w:r>
          </w:p>
        </w:tc>
        <w:tc>
          <w:tcPr>
            <w:tcW w:w="1160" w:type="dxa"/>
            <w:vAlign w:val="bottom"/>
          </w:tcPr>
          <w:p>
            <w:pPr>
              <w:jc w:val="right"/>
              <w:spacing w:after="0"/>
              <w:rPr>
                <w:sz w:val="20"/>
                <w:szCs w:val="20"/>
                <w:color w:val="auto"/>
              </w:rPr>
            </w:pPr>
            <w:r>
              <w:rPr>
                <w:rFonts w:ascii="Arial" w:cs="Arial" w:eastAsia="Arial" w:hAnsi="Arial"/>
                <w:sz w:val="18"/>
                <w:szCs w:val="18"/>
                <w:color w:val="auto"/>
              </w:rPr>
              <w:t>848,469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815,026</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872,113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1,281,225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11,586,662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15,444,931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19,277,956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24,546,330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30,354,671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4,892,285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1,828,227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2,282,577</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3,576,502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4,233,184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6,756,447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1,088,942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34,797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63,890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99,968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Working capital (Note 2)</w:t>
            </w:r>
          </w:p>
        </w:tc>
        <w:tc>
          <w:tcPr>
            <w:tcW w:w="1140" w:type="dxa"/>
            <w:vAlign w:val="bottom"/>
          </w:tcPr>
          <w:p>
            <w:pPr>
              <w:jc w:val="right"/>
              <w:spacing w:after="0"/>
              <w:rPr>
                <w:sz w:val="20"/>
                <w:szCs w:val="20"/>
                <w:color w:val="auto"/>
              </w:rPr>
            </w:pPr>
            <w:r>
              <w:rPr>
                <w:rFonts w:ascii="Arial" w:cs="Arial" w:eastAsia="Arial" w:hAnsi="Arial"/>
                <w:sz w:val="18"/>
                <w:szCs w:val="18"/>
                <w:color w:val="auto"/>
              </w:rPr>
              <w:t>8,798,668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12,191,609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14,292,171</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18,564,579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20,976,075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3,380,729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Mezzanine classified noncontrolling</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9,723,638</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13,098,464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15,601,486</w:t>
            </w:r>
          </w:p>
        </w:tc>
        <w:tc>
          <w:tcPr>
            <w:tcW w:w="3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20,168,263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23,358,160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3,764,652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-2437765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-2437765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6"/>
          <w:szCs w:val="16"/>
          <w:color w:val="auto"/>
        </w:rPr>
        <w:t>See the section titled “Exchange Rate Information” below.</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6"/>
          <w:szCs w:val="16"/>
          <w:color w:val="auto"/>
        </w:rPr>
        <w:t>Working capital represents total current assets less total current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have published our financial statements in Renminbi, or RMB. Our business is currently conducted in and from China in Renminbi. In this annual report, all references to Renminbi and RMB are to the legal currency of China and all references to U.S. dollars, dollars, $ and US$ are to the legal currency of the United States. Translations in this annual report of amounts from RMB into U.S. dollars for the convenience of the reader were calculated at the noon buying rate of US$1.00: RMB6.2046 on the last trading day of 2014 (December 31, 2014) as set forth in the H.10 statistical release of the U.S. Federal Reserve Board. The prevailing rate on April 10, 2015 was US$1.00: RMB6.2082. We make no representation that any Renminbi or U.S. dollar amounts could have been, or could be, converted into U.S. dollars or Renminbi, as the case may be, at any particular rate, the rates stated above, or at all, on December 31, 2014 or on any other date. The Chinese government imposes control over its foreign currency reserves in part through direct regulation of the conversion of Renminbi into foreign exchange and through restrictions on foreign trade.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average buying rate for Renminbi expressed as per one U.S. dollar for the years 2010, 2011, 2012, 2013 and 2014.</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Renminbi Average(1)</w:t>
            </w: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6.4475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6.1412</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Determined by averaging the rates on the last business day of each month during the relevant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high and low exchange rates for Renminbi expressed as per one U.S. dollar during the past six months.</w:t>
      </w:r>
    </w:p>
    <w:p>
      <w:pPr>
        <w:spacing w:after="0" w:line="228" w:lineRule="exact"/>
        <w:rPr>
          <w:sz w:val="20"/>
          <w:szCs w:val="20"/>
          <w:color w:val="auto"/>
        </w:rPr>
      </w:pPr>
    </w:p>
    <w:p>
      <w:pPr>
        <w:ind w:left="980"/>
        <w:spacing w:after="0"/>
        <w:tabs>
          <w:tab w:leader="none" w:pos="7500" w:val="left"/>
          <w:tab w:leader="none" w:pos="9160" w:val="left"/>
        </w:tabs>
        <w:rPr>
          <w:sz w:val="20"/>
          <w:szCs w:val="20"/>
          <w:color w:val="auto"/>
        </w:rPr>
      </w:pPr>
      <w:r>
        <w:rPr>
          <w:rFonts w:ascii="Arial" w:cs="Arial" w:eastAsia="Arial" w:hAnsi="Arial"/>
          <w:sz w:val="14"/>
          <w:szCs w:val="14"/>
          <w:b w:val="1"/>
          <w:bCs w:val="1"/>
          <w:color w:val="auto"/>
        </w:rPr>
        <w:t>Month Ended</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6350</wp:posOffset>
            </wp:positionV>
            <wp:extent cx="579755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p>
      <w:pPr>
        <w:spacing w:after="0" w:line="25" w:lineRule="exact"/>
        <w:rPr>
          <w:sz w:val="20"/>
          <w:szCs w:val="20"/>
          <w:color w:val="auto"/>
        </w:rPr>
      </w:pPr>
    </w:p>
    <w:p>
      <w:pPr>
        <w:ind w:left="980"/>
        <w:spacing w:after="0"/>
        <w:tabs>
          <w:tab w:leader="none" w:pos="7840" w:val="left"/>
          <w:tab w:leader="none" w:pos="948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6.1107</w:t>
      </w:r>
      <w:r>
        <w:rPr>
          <w:sz w:val="20"/>
          <w:szCs w:val="20"/>
          <w:color w:val="auto"/>
        </w:rPr>
        <w:tab/>
      </w:r>
      <w:r>
        <w:rPr>
          <w:rFonts w:ascii="Arial" w:cs="Arial" w:eastAsia="Arial" w:hAnsi="Arial"/>
          <w:sz w:val="16"/>
          <w:szCs w:val="16"/>
          <w:color w:val="auto"/>
        </w:rPr>
        <w:t>6.1385</w:t>
      </w:r>
    </w:p>
    <w:p>
      <w:pPr>
        <w:sectPr>
          <w:pgSz w:w="11900" w:h="16838" w:orient="portrait"/>
          <w:cols w:equalWidth="0" w:num="1">
            <w:col w:w="11460"/>
          </w:cols>
          <w:pgMar w:left="240" w:top="134" w:right="199" w:bottom="0" w:gutter="0" w:footer="0" w:header="0"/>
          <w:type w:val="continuous"/>
        </w:sectPr>
      </w:pPr>
    </w:p>
    <w:bookmarkStart w:id="5" w:name="page6"/>
    <w:bookmarkEnd w:id="5"/>
    <w:p>
      <w:pPr>
        <w:spacing w:after="0" w:line="46"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November 30, 2014</w:t>
            </w:r>
          </w:p>
        </w:tc>
        <w:tc>
          <w:tcPr>
            <w:tcW w:w="3800" w:type="dxa"/>
            <w:vAlign w:val="bottom"/>
          </w:tcPr>
          <w:p>
            <w:pPr>
              <w:jc w:val="right"/>
              <w:ind w:right="490"/>
              <w:spacing w:after="0"/>
              <w:rPr>
                <w:sz w:val="20"/>
                <w:szCs w:val="20"/>
                <w:color w:val="auto"/>
              </w:rPr>
            </w:pPr>
            <w:r>
              <w:rPr>
                <w:rFonts w:ascii="Arial" w:cs="Arial" w:eastAsia="Arial" w:hAnsi="Arial"/>
                <w:sz w:val="18"/>
                <w:szCs w:val="18"/>
                <w:color w:val="auto"/>
              </w:rPr>
              <w:t>6.1117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6.1429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3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6.1490</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6.2256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January 31, 2015</w:t>
            </w:r>
          </w:p>
        </w:tc>
        <w:tc>
          <w:tcPr>
            <w:tcW w:w="3800" w:type="dxa"/>
            <w:vAlign w:val="bottom"/>
          </w:tcPr>
          <w:p>
            <w:pPr>
              <w:jc w:val="right"/>
              <w:ind w:right="490"/>
              <w:spacing w:after="0"/>
              <w:rPr>
                <w:sz w:val="20"/>
                <w:szCs w:val="20"/>
                <w:color w:val="auto"/>
              </w:rPr>
            </w:pPr>
            <w:r>
              <w:rPr>
                <w:rFonts w:ascii="Arial" w:cs="Arial" w:eastAsia="Arial" w:hAnsi="Arial"/>
                <w:sz w:val="18"/>
                <w:szCs w:val="18"/>
                <w:color w:val="auto"/>
              </w:rPr>
              <w:t>6.1870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6.2535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February 28, 2015</w:t>
            </w:r>
          </w:p>
        </w:tc>
        <w:tc>
          <w:tcPr>
            <w:tcW w:w="3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6.2399</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6.2695</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March 31, 2015</w:t>
            </w:r>
          </w:p>
        </w:tc>
        <w:tc>
          <w:tcPr>
            <w:tcW w:w="3800" w:type="dxa"/>
            <w:vAlign w:val="bottom"/>
          </w:tcPr>
          <w:p>
            <w:pPr>
              <w:jc w:val="right"/>
              <w:ind w:right="490"/>
              <w:spacing w:after="0"/>
              <w:rPr>
                <w:sz w:val="20"/>
                <w:szCs w:val="20"/>
                <w:color w:val="auto"/>
              </w:rPr>
            </w:pPr>
            <w:r>
              <w:rPr>
                <w:rFonts w:ascii="Arial" w:cs="Arial" w:eastAsia="Arial" w:hAnsi="Arial"/>
                <w:sz w:val="18"/>
                <w:szCs w:val="18"/>
                <w:color w:val="auto"/>
              </w:rPr>
              <w:t>6.1955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6.2741</w:t>
            </w:r>
          </w:p>
        </w:tc>
      </w:tr>
    </w:tbl>
    <w:p>
      <w:pPr>
        <w:spacing w:after="0" w:line="183" w:lineRule="exact"/>
        <w:rPr>
          <w:sz w:val="20"/>
          <w:szCs w:val="20"/>
          <w:color w:val="auto"/>
        </w:rPr>
      </w:pPr>
    </w:p>
    <w:p>
      <w:pPr>
        <w:ind w:left="520" w:right="8420" w:hanging="512"/>
        <w:spacing w:after="0" w:line="501" w:lineRule="auto"/>
        <w:tabs>
          <w:tab w:leader="none" w:pos="51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520" w:right="7660" w:hanging="512"/>
        <w:spacing w:after="0" w:line="503" w:lineRule="auto"/>
        <w:tabs>
          <w:tab w:leader="none" w:pos="52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25"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Our business depends to a significant extent on certain online games, which accounted for 82.3%, 77.5% and 66.8% of our total net revenues in 2012, 2013 and 2014, respectively. We may not be able to maintain the popularity of these games for a variety of reasons.</w:t>
      </w:r>
    </w:p>
    <w:p>
      <w:pPr>
        <w:spacing w:after="0" w:line="142" w:lineRule="exact"/>
        <w:rPr>
          <w:sz w:val="20"/>
          <w:szCs w:val="20"/>
          <w:color w:val="auto"/>
        </w:rPr>
      </w:pPr>
    </w:p>
    <w:p>
      <w:pPr>
        <w:ind w:firstLine="510"/>
        <w:spacing w:after="0" w:line="281" w:lineRule="auto"/>
        <w:rPr>
          <w:sz w:val="20"/>
          <w:szCs w:val="20"/>
          <w:color w:val="auto"/>
        </w:rPr>
      </w:pPr>
      <w:r>
        <w:rPr>
          <w:rFonts w:ascii="Arial" w:cs="Arial" w:eastAsia="Arial" w:hAnsi="Arial"/>
          <w:sz w:val="16"/>
          <w:szCs w:val="16"/>
          <w:color w:val="auto"/>
        </w:rPr>
        <w:t>Certain of our internally developed massively multi-player online role-playing PC-client games, known as MMORPGs, including New Westward Journey Online II, Fantasy Westward Journey II, Tianxia III, Ghost II, Heroes of Tang Dynasty Zero, as well as World of Warcraft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other games licensed from Blizzard Entertainment, Inc. (together with its affiliated companies, referred to as Blizzard in this annual report), contributed 82.3%, 77.5% and 66.8% of our total net revenues in 2012, 2013 and 2014, respectively. We expect that we will need to continually introduce new versions or substantive upgrades of these and our other online games on a frequent basis to maintain their popularity, although changes in users’ tastes or in the overall market for online games in China could alter the anticipated life cycle of each version or upgrade or even cause our users to stop playing our games altogether. Because of the limited history of the online games market in China, we cannot at this time estimate the total life cycle of any of our games, particularly our more recently launched PC or mobile games. If we are unable to maintain the popularity of our existing online games or are unable to introduce new online games which are popular with online game users in China (as discussed in the next risk factor), our business and results of operations could be materially and adversely affected. In particular, we have devoted, and expect to continue to devote, significant resources to maintain and raise the popularity of our online games through the release of new versions and/or expansion packs on a periodic basis and various promotional activities such as media advertising and game tournaments. For example, in 2014, we released an item-based version of New Westward Journey Online II and introduced new expansion packs for Fantasy Westward Journey II, New Westward Journey Online II, Tianxia III, Ghost II as well as Heroes of Tang Dynasty Zero, a comprehensive upgrade of Heroes of Tang Dynasty II.</w:t>
      </w:r>
    </w:p>
    <w:p>
      <w:pPr>
        <w:spacing w:after="0" w:line="16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fail to develop and introduce new online games timely and successfully, we will not be able to compete effectively and our ability to generate revenues will suffer.</w:t>
      </w:r>
    </w:p>
    <w:p>
      <w:pPr>
        <w:spacing w:after="0" w:line="16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operate in a highly competitive, quickly changing environment, and our future success depends not only on the popularity of our existing online games but also on our ability to develop and introduce new games that our customers and users choose to buy. If we are unsuccessful at developing and introducing new online games that are appealing to users with acceptable prices and terms, our business and operating results will be negatively impacted because we would not be able to compete effectively and our ability to generate revenues would suffer. The development of new games can be very difficult and requires high levels of innovation.</w:t>
      </w:r>
    </w:p>
    <w:p>
      <w:pPr>
        <w:spacing w:after="0" w:line="188"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New technologies in online game programming or operations could render our current online titles or other online games that we develop in the future obsolete or unattractive to our subscribers, thereby limiting our ability to recover development costs and potentially adversely affecting our future revenues and profitability. For example, the online game industry in China is transitioning to mobile games, which have become increasingly popular as Internet users in China rely more and more on mobile devices, such as smart phones and tablets, to access the Internet. In response to this trend, we have started to develop games that can be operated on mobile devices. For example, we commercially launched the mobile version of Fantasy Westward Journey II in 2013, which has extended the reach of this game from the PC to mobile platforms. In 2014, we launched eight self-developed and four licensed mobile games. Each of our new games has required long periods of time for research and development and testing and also typically experience long ramp-up periods as players become familiar with the games. In particular, we are relatively new to the development of mobile games, and we cannot guarantee that we will be able to develop successful mobile games that appeal to players. We are not able to predict if or when we will commercially launch additional new games and whether any of our new games will gain popularity in the Chinese online game market.</w:t>
      </w:r>
    </w:p>
    <w:p>
      <w:pPr>
        <w:spacing w:after="0" w:line="178"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In addition, we are required to devote significant resources to the ongoing operations of our online games, such as staff costs related to our “Game Masters” which supervise the activities within our games and development costs for expansion packs of existing online games. If we fail to anticipate our users’ needs and technological trends accurately or are otherwise unable to complete the development of games in a timely fashion, we will be unable to introduce new games into the market to successfully compete.</w:t>
      </w:r>
    </w:p>
    <w:p>
      <w:pPr>
        <w:spacing w:after="0" w:line="18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demand for new games is difficult to forecast, in part due to the relative immaturity of the market and relatively short life cycles of online games. As we introduce and support additional games and as competition in the market for our games intensify, we expect that it will become more difficult to forecast demand. In particular, competition in the online game market is growing as more and more online games are introduced by existing and new market participants.</w:t>
      </w:r>
    </w:p>
    <w:p>
      <w:pPr>
        <w:spacing w:after="0" w:line="183"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Our profits from mobile games may be relatively lower than the profits we have enjoyed historically for MMORPGs and the success of our mobile games depends on our ability to maintain relationships with app stores and other participants in the mobile industry.</w:t>
      </w:r>
    </w:p>
    <w:p>
      <w:pPr>
        <w:spacing w:after="0" w:line="142" w:lineRule="exact"/>
        <w:rPr>
          <w:sz w:val="20"/>
          <w:szCs w:val="20"/>
          <w:color w:val="auto"/>
        </w:rPr>
      </w:pPr>
    </w:p>
    <w:p>
      <w:pPr>
        <w:jc w:val="both"/>
        <w:ind w:right="380" w:firstLine="510"/>
        <w:spacing w:after="0" w:line="312" w:lineRule="auto"/>
        <w:rPr>
          <w:sz w:val="20"/>
          <w:szCs w:val="20"/>
          <w:color w:val="auto"/>
        </w:rPr>
      </w:pPr>
      <w:r>
        <w:rPr>
          <w:rFonts w:ascii="Arial" w:cs="Arial" w:eastAsia="Arial" w:hAnsi="Arial"/>
          <w:sz w:val="16"/>
          <w:szCs w:val="16"/>
          <w:color w:val="auto"/>
        </w:rPr>
        <w:t>Our profits from our mobile games, even if the games are successful, are likely to be relatively lower than our profits generated from MMORPGs, because, in order to gain access for our games on mobile app stores, which are the primary distribution channel for our mobile games, we must enter into revenue-sharing arrangements that result in lower profit margins compared with those of our MMORPGs and other online games. We also may not be</w:t>
      </w:r>
    </w:p>
    <w:p>
      <w:pPr>
        <w:sectPr>
          <w:pgSz w:w="11900" w:h="16885" w:orient="portrait"/>
          <w:cols w:equalWidth="0" w:num="1">
            <w:col w:w="11420"/>
          </w:cols>
          <w:pgMar w:left="240" w:top="125" w:right="239" w:bottom="0" w:gutter="0" w:footer="0" w:header="0"/>
        </w:sectPr>
      </w:pPr>
    </w:p>
    <w:bookmarkStart w:id="6" w:name="page7"/>
    <w:bookmarkEnd w:id="6"/>
    <w:p>
      <w:pPr>
        <w:ind w:right="400"/>
        <w:spacing w:after="0" w:line="342" w:lineRule="auto"/>
        <w:rPr>
          <w:sz w:val="20"/>
          <w:szCs w:val="20"/>
          <w:color w:val="auto"/>
        </w:rPr>
      </w:pPr>
      <w:r>
        <w:rPr>
          <w:rFonts w:ascii="Arial" w:cs="Arial" w:eastAsia="Arial" w:hAnsi="Arial"/>
          <w:sz w:val="16"/>
          <w:szCs w:val="16"/>
          <w:color w:val="auto"/>
        </w:rPr>
        <w:t>successful in developing or maintaining relationships with app store operators or other key participants in the mobile industry, such as mobile device and operating system providers, which are important to our ability to develop and deploy mobile games that operate effectively across mobile platforms.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We have started to devote and expect to continue to devote a significant amount of resources to the development of our mobile games, but these and other uncertainties make it difficult to know whether we will succeed in making our mobile game operations profitable. If we do not succeed in doing so, our business and results of operations will be adversely affected.</w:t>
      </w:r>
    </w:p>
    <w:p>
      <w:pPr>
        <w:spacing w:after="0" w:line="17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not be able to maintain a stable relationship with Blizzard, and we may experience difficulties in the operation of the online games licensed from it or its affiliates.</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In August 2008 and April 2009, Blizzard agreed to license certain online games developed by it to Shanghai EaseNet Network Technology Co., Ltd., or Shanghai EaseNet, for operation in the PRC, including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Wings of Liberty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World of Warcraft. Shanghai EaseNet is a PRC company owned by William Lei Ding, our Chief Executive Officer, director and major shareholder, and has contractual arrangements with us and with the joint venture established between Blizzard and us. In addition, Blizzard agreed to license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Heart of Swarm</w:t>
      </w:r>
      <w:r>
        <w:rPr>
          <w:rFonts w:ascii="Arial" w:cs="Arial" w:eastAsia="Arial" w:hAnsi="Arial"/>
          <w:sz w:val="22"/>
          <w:szCs w:val="22"/>
          <w:color w:val="auto"/>
          <w:vertAlign w:val="superscript"/>
        </w:rPr>
        <w:t>®</w:t>
      </w:r>
      <w:r>
        <w:rPr>
          <w:rFonts w:ascii="Arial" w:cs="Arial" w:eastAsia="Arial" w:hAnsi="Arial"/>
          <w:sz w:val="17"/>
          <w:szCs w:val="17"/>
          <w:color w:val="auto"/>
        </w:rPr>
        <w:t>, Heroes of the Storm™ (previously named as Blizzard All-Stars), Hearthstone</w:t>
      </w:r>
      <w:r>
        <w:rPr>
          <w:rFonts w:ascii="Arial" w:cs="Arial" w:eastAsia="Arial" w:hAnsi="Arial"/>
          <w:sz w:val="22"/>
          <w:szCs w:val="22"/>
          <w:color w:val="auto"/>
          <w:vertAlign w:val="superscript"/>
        </w:rPr>
        <w:t>®</w:t>
      </w:r>
      <w:r>
        <w:rPr>
          <w:rFonts w:ascii="Arial" w:cs="Arial" w:eastAsia="Arial" w:hAnsi="Arial"/>
          <w:sz w:val="17"/>
          <w:szCs w:val="17"/>
          <w:color w:val="auto"/>
        </w:rPr>
        <w:t>: Heroes of Warcraft™,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III and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Legacy of the Void™ to Shanghai EaseNet for operation in the PRC in July 2011, November 2012, July 2013, June 2014 and January 2015, respectively. Shanghai EaseNet commercially launched World of Warcraft in 2009, StarCraft II: Wings of Liberty in 2011, StarCraft II: Heart of Swarm in 2013 and Hearthstone: Heroes of Warcraft in 2014, and released a closed beta testing version of Heroes of the Storm in January 2015 and an open beta testing version of Diablo III in April 2015 after receiving the relevant government authorities’ approvals. For further details, see Item 4.B. “Business Overview — Our Services — Game Licensing and Joint Venture with Blizzard.” If we are unable to maintain a stable relationship with Blizzard, or if Blizzard establishes similar or more favorable relationships with our competitors in violation of its contractual arrangements with us or otherwise, we may not be able to ensure the smooth operation of these licensed online games, and Blizzard could terminate or fail to renew the license and joint venture agreements with us, which in either case could harm our operating results and business. Moreover, the success of our arrangements with Blizzard depends on the popularity of the games licensed to us by it in the Chinese market, which is affected by, among other things, the frequency and success of updates and expansion packs to those games developed by Blizzard over which we have no control. In addition, certain events may limit Blizzard’s ability to develop or license online games, such as claims by third parties that Blizzard’s online games infringe such third parties’ intellectual property rights or Blizzard’s inability to acquire or maintain licenses to use another party’s intellectual property in its online games. In the case of such events, Blizzard may be unable to continue licensing online games to us or to continue participating in any joint venture with us, regardless of the stability of our relationship with Blizzard.</w:t>
      </w:r>
    </w:p>
    <w:p>
      <w:pPr>
        <w:spacing w:after="0" w:line="19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Shanghai EaseNet, as licensee of the games, has paid to Blizzard license fees. In addition, the licenses with Blizzard have three-year terms, require Shanghai EaseNet to pay royalties and consultancy fees to Blizzard for the games over the length of the licenses, have a minimum marketing expenditure commitment, and require Shanghai EaseNet to provide funds for hardware to operate the games. We have guaranteed the payment of the foregoing amounts if and to the extent Shanghai EaseNet has insufficient funds to make such payments. We will be entitled to reimbursement of any amounts paid under the guarantee for marketing the licensed games and for hardware support to operate the games from any net profits subsequently generated by Shanghai EaseNet, after the deduction of, among others, various fees and expenses payable to Blizzard, us and our joint venture with Blizzard which will provide technical services to Shanghai EaseNet. See Item 4.B. “Business Overview — Our Services — Game Licensing and Joint Venture with Blizzard.” for details about these arrangements.</w:t>
      </w:r>
    </w:p>
    <w:p>
      <w:pPr>
        <w:spacing w:after="0" w:line="19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believe that our current cash and cash equivalents and cash flow from operations will be sufficient to meet our foregoing obligations. To the extent our obligations exceed our cash resources, we may seek to sell additional equity or debt securities or to obtain a credit facility. The sale of additional equity or convertible debt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 If we are unable to meet our foregoing obligations, our licensed games operation and financial condition could be adversely affected and our licenses with Blizzard could be terminated.</w:t>
      </w:r>
    </w:p>
    <w:p>
      <w:pPr>
        <w:spacing w:after="0" w:line="193" w:lineRule="exact"/>
        <w:rPr>
          <w:sz w:val="20"/>
          <w:szCs w:val="20"/>
          <w:color w:val="auto"/>
        </w:rPr>
      </w:pPr>
    </w:p>
    <w:p>
      <w:pPr>
        <w:ind w:right="160" w:firstLine="504"/>
        <w:spacing w:after="0" w:line="259" w:lineRule="auto"/>
        <w:rPr>
          <w:sz w:val="20"/>
          <w:szCs w:val="20"/>
          <w:color w:val="auto"/>
        </w:rPr>
      </w:pPr>
      <w:r>
        <w:rPr>
          <w:rFonts w:ascii="Arial" w:cs="Arial" w:eastAsia="Arial" w:hAnsi="Arial"/>
          <w:sz w:val="18"/>
          <w:szCs w:val="18"/>
          <w:color w:val="auto"/>
        </w:rPr>
        <w:t>In addition, we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results of operations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Any difficulties or delays in receiving approval from the relevant government authorities for the operation of games we license from game developers outside of China or any expansion packs for or material changes to such games could adversely affect such games’ popularity and profitability.</w:t>
      </w:r>
    </w:p>
    <w:p>
      <w:pPr>
        <w:spacing w:after="0" w:line="1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Games we license from game developers outside of China require government approvals before operation of such games within China. Moreover, even after licensed games have received government approvals, any expansion packs for or material changes of content to those games may require further government approvals. We cannot be certain of the duration of any necessary approval processes, and any delay in receiving such government approvals may adversely affect the profitability and popularity of such licensed games.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alliances may have an adverse effect on our business.</w:t>
      </w:r>
    </w:p>
    <w:p>
      <w:pPr>
        <w:spacing w:after="0" w:line="229" w:lineRule="exact"/>
        <w:rPr>
          <w:sz w:val="20"/>
          <w:szCs w:val="20"/>
          <w:color w:val="auto"/>
        </w:rPr>
      </w:pPr>
    </w:p>
    <w:p>
      <w:pPr>
        <w:ind w:right="60" w:firstLine="510"/>
        <w:spacing w:after="0" w:line="302" w:lineRule="auto"/>
        <w:rPr>
          <w:sz w:val="20"/>
          <w:szCs w:val="20"/>
          <w:color w:val="auto"/>
        </w:rPr>
      </w:pPr>
      <w:r>
        <w:rPr>
          <w:rFonts w:ascii="Arial" w:cs="Arial" w:eastAsia="Arial" w:hAnsi="Arial"/>
          <w:sz w:val="16"/>
          <w:szCs w:val="16"/>
          <w:color w:val="auto"/>
        </w:rPr>
        <w:t>Strategic alliances with key players in the online game industry and other related industry sectors form part of our strategy to expand our portfolio of online games. For example, starting in August 2008, Blizzard agreed to license certain online games developed by it to Shanghai EaseNet for operation in the PRC. We have also formed a joint venture with Blizzard to provide technical services to Shanghai EaseNet. However, our ability to grow through future alliances, including through joint ventures, will depend on the availability of suitable partners at reasonable terms, our ability to compete effectively to attract</w:t>
      </w:r>
    </w:p>
    <w:p>
      <w:pPr>
        <w:sectPr>
          <w:pgSz w:w="11900" w:h="16838" w:orient="portrait"/>
          <w:cols w:equalWidth="0" w:num="1">
            <w:col w:w="11420"/>
          </w:cols>
          <w:pgMar w:left="240" w:top="125" w:right="239" w:bottom="0" w:gutter="0" w:footer="0" w:header="0"/>
        </w:sectPr>
      </w:pPr>
    </w:p>
    <w:bookmarkStart w:id="7" w:name="page8"/>
    <w:bookmarkEnd w:id="7"/>
    <w:p>
      <w:pPr>
        <w:ind w:right="440"/>
        <w:spacing w:after="0" w:line="342" w:lineRule="auto"/>
        <w:rPr>
          <w:sz w:val="20"/>
          <w:szCs w:val="20"/>
          <w:color w:val="auto"/>
        </w:rPr>
      </w:pPr>
      <w:r>
        <w:rPr>
          <w:rFonts w:ascii="Arial" w:cs="Arial" w:eastAsia="Arial" w:hAnsi="Arial"/>
          <w:sz w:val="16"/>
          <w:szCs w:val="16"/>
          <w:color w:val="auto"/>
        </w:rPr>
        <w:t>these partners, the availability of financing to complete larger joint ventures, and our ability to obtain any required governmental approvals. Further, the benefits of an alliance may take considerable time to develop, and we cannot be certain that any particular alliance will produce its intended benefits.</w:t>
      </w:r>
    </w:p>
    <w:p>
      <w:pPr>
        <w:spacing w:after="0" w:line="12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limited experience in identifying, financing or completing strategic alliances.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7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Our new games may attract game players away from our existing games, which may have a material adverse effect on our business, financial condition and results of operations.</w:t>
      </w:r>
    </w:p>
    <w:p>
      <w:pPr>
        <w:spacing w:after="0" w:line="16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Our new online games, including PC-client games and mobile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changed game features in our online games may not be well received by our game players.</w:t>
      </w:r>
    </w:p>
    <w:p>
      <w:pPr>
        <w:spacing w:after="0" w:line="229" w:lineRule="exact"/>
        <w:rPr>
          <w:sz w:val="20"/>
          <w:szCs w:val="20"/>
          <w:color w:val="auto"/>
        </w:rPr>
      </w:pPr>
    </w:p>
    <w:p>
      <w:pPr>
        <w:ind w:right="60" w:firstLine="504"/>
        <w:spacing w:after="0" w:line="302" w:lineRule="auto"/>
        <w:rPr>
          <w:sz w:val="20"/>
          <w:szCs w:val="20"/>
          <w:color w:val="auto"/>
        </w:rPr>
      </w:pPr>
      <w:r>
        <w:rPr>
          <w:rFonts w:ascii="Arial" w:cs="Arial" w:eastAsia="Arial" w:hAnsi="Arial"/>
          <w:sz w:val="16"/>
          <w:szCs w:val="16"/>
          <w:color w:val="auto"/>
        </w:rPr>
        <w:t>In the course of launching and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5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 prolonged slowdown in the PRC economy may materially and adversely affect our results of operations, financial condition, prospects and future expansion plans.</w:t>
      </w:r>
    </w:p>
    <w:p>
      <w:pPr>
        <w:spacing w:after="0" w:line="166"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We derive substantially all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54"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The rate of economic growth in the PRC has been experiencing a significant slowdown. Although the PRC government has implemented a number of measures to address the slowdown, these measures may not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Reports of violence and theft related to online games may result in negative publicity or a governmental response that could have a material and adverse impact on our business.</w:t>
      </w:r>
    </w:p>
    <w:p>
      <w:pPr>
        <w:spacing w:after="0" w:line="166" w:lineRule="exact"/>
        <w:rPr>
          <w:sz w:val="20"/>
          <w:szCs w:val="20"/>
          <w:color w:val="auto"/>
        </w:rPr>
      </w:pPr>
    </w:p>
    <w:p>
      <w:pPr>
        <w:ind w:firstLine="504"/>
        <w:spacing w:after="0" w:line="270" w:lineRule="auto"/>
        <w:rPr>
          <w:sz w:val="20"/>
          <w:szCs w:val="20"/>
          <w:color w:val="auto"/>
        </w:rPr>
      </w:pPr>
      <w:r>
        <w:rPr>
          <w:rFonts w:ascii="Arial" w:cs="Arial" w:eastAsia="Arial" w:hAnsi="Arial"/>
          <w:sz w:val="17"/>
          <w:szCs w:val="17"/>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new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the Telecommunications and Internet Industries in China—The Chinese government has taken steps to limit online game playing time for all minors. These and any other new restrictions may materially and adversely impact our business and results of operations.” If the Chinese government should determine that online games have a negative impact on society, it may impose certain additional restrictions on the online game industry, which could in turn have a material and adverse effect on our business and results of operations.</w:t>
      </w:r>
    </w:p>
    <w:p>
      <w:pPr>
        <w:spacing w:after="0" w:line="17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Acts of cheating by users of online games could lessen the popularity of our online games, adversely affect our reputation and our results of operations.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Although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93" w:lineRule="exact"/>
        <w:rPr>
          <w:sz w:val="20"/>
          <w:szCs w:val="20"/>
          <w:color w:val="auto"/>
        </w:rPr>
      </w:pPr>
    </w:p>
    <w:p>
      <w:pPr>
        <w:ind w:firstLine="510"/>
        <w:spacing w:after="0" w:line="302" w:lineRule="auto"/>
        <w:rPr>
          <w:sz w:val="20"/>
          <w:szCs w:val="20"/>
          <w:color w:val="auto"/>
        </w:rPr>
      </w:pPr>
      <w:r>
        <w:rPr>
          <w:rFonts w:ascii="Arial" w:cs="Arial" w:eastAsia="Arial" w:hAnsi="Arial"/>
          <w:sz w:val="16"/>
          <w:szCs w:val="16"/>
          <w:color w:val="auto"/>
        </w:rPr>
        <w:t>If we suspect a player of installing cheating programs on our online games, or of engaging in other types of unauthorized activities, we may freeze that player’s game account or even ban the player from logging on to our games and portal. Such activities to regulate the behavior of our users are essential to maintain a fair playing environment for our users. However, if any of our regulatory activities are found to be wrongly implemented, our users may institute legal proceedings against us for damages or claims. Our operation, business and financial performance may be materially and adversely affected as a result.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Illegal game servers could harm our business and reputation and materially and adversely affect our results of operations.</w:t>
      </w:r>
    </w:p>
    <w:p>
      <w:pPr>
        <w:sectPr>
          <w:pgSz w:w="11900" w:h="16838" w:orient="portrait"/>
          <w:cols w:equalWidth="0" w:num="1">
            <w:col w:w="11380"/>
          </w:cols>
          <w:pgMar w:left="240" w:top="125" w:right="279" w:bottom="0" w:gutter="0" w:footer="0" w:header="0"/>
        </w:sectPr>
      </w:pPr>
    </w:p>
    <w:bookmarkStart w:id="8" w:name="page9"/>
    <w:bookmarkEnd w:id="8"/>
    <w:p>
      <w:pPr>
        <w:ind w:right="80" w:firstLine="510"/>
        <w:spacing w:after="0" w:line="276" w:lineRule="auto"/>
        <w:rPr>
          <w:sz w:val="20"/>
          <w:szCs w:val="20"/>
          <w:color w:val="auto"/>
        </w:rPr>
      </w:pPr>
      <w:r>
        <w:rPr>
          <w:rFonts w:ascii="Arial" w:cs="Arial" w:eastAsia="Arial" w:hAnsi="Arial"/>
          <w:sz w:val="17"/>
          <w:szCs w:val="17"/>
          <w:color w:val="auto"/>
        </w:rPr>
        <w:t>Several of our competitors have reported that some Internet cafés have installed illegal copies of such competitors’ games on the cafés’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6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We expect that a portion of our future revenues will continue to come from our advertising services, which represented approximately 11.9% of our total net revenues for 2014, but we may not be able to compete effectively in this market because it is relatively new and intensely competitive, in which case our ability to generate and maintain advertising revenue in the future could be adversely affected.</w:t>
      </w:r>
    </w:p>
    <w:p>
      <w:pPr>
        <w:spacing w:after="0" w:line="162" w:lineRule="exact"/>
        <w:rPr>
          <w:sz w:val="20"/>
          <w:szCs w:val="20"/>
          <w:color w:val="auto"/>
        </w:rPr>
      </w:pPr>
    </w:p>
    <w:p>
      <w:pPr>
        <w:ind w:firstLine="506"/>
        <w:spacing w:after="0" w:line="255" w:lineRule="auto"/>
        <w:rPr>
          <w:sz w:val="20"/>
          <w:szCs w:val="20"/>
          <w:color w:val="auto"/>
        </w:rPr>
      </w:pPr>
      <w:r>
        <w:rPr>
          <w:rFonts w:ascii="Arial" w:cs="Arial" w:eastAsia="Arial" w:hAnsi="Arial"/>
          <w:sz w:val="18"/>
          <w:szCs w:val="18"/>
          <w:color w:val="auto"/>
        </w:rPr>
        <w:t>Although we anticipate that the revenues generated by our online games will continue to constitute the major portion of our future revenues, we believe that we will continue to rely on advertising revenues as one of our primary revenue sources for the foreseeable future. The popularity of online advertising in China has been growing quickly in recent years and many of our current and potential advertisers have gained in experience with using the Internet as an advertising medium. Many advertisers, however, still do not devote a significant portion of their advertising expenditures to Internet-based advertising. Some advertisers may also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00" w:hanging="48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a large base of users possessing demographic characteristics attractive to advertisers;</w:t>
      </w:r>
    </w:p>
    <w:p>
      <w:pPr>
        <w:spacing w:after="0" w:line="225" w:lineRule="exact"/>
        <w:rPr>
          <w:rFonts w:ascii="Arial" w:cs="Arial" w:eastAsia="Arial" w:hAnsi="Arial"/>
          <w:sz w:val="18"/>
          <w:szCs w:val="18"/>
          <w:color w:val="auto"/>
        </w:rPr>
      </w:pPr>
    </w:p>
    <w:p>
      <w:pPr>
        <w:ind w:left="960" w:hanging="44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software that blocks Internet advertisements before they appear on a user’s screen;</w:t>
      </w:r>
    </w:p>
    <w:p>
      <w:pPr>
        <w:spacing w:after="0" w:line="225" w:lineRule="exact"/>
        <w:rPr>
          <w:rFonts w:ascii="Arial" w:cs="Arial" w:eastAsia="Arial" w:hAnsi="Arial"/>
          <w:sz w:val="18"/>
          <w:szCs w:val="18"/>
          <w:color w:val="auto"/>
        </w:rPr>
      </w:pPr>
    </w:p>
    <w:p>
      <w:pPr>
        <w:ind w:left="960" w:hanging="44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downward pressure on online advertising prices; and</w:t>
      </w:r>
    </w:p>
    <w:p>
      <w:pPr>
        <w:spacing w:after="0" w:line="225" w:lineRule="exact"/>
        <w:rPr>
          <w:rFonts w:ascii="Arial" w:cs="Arial" w:eastAsia="Arial" w:hAnsi="Arial"/>
          <w:sz w:val="18"/>
          <w:szCs w:val="18"/>
          <w:color w:val="auto"/>
        </w:rPr>
      </w:pPr>
    </w:p>
    <w:p>
      <w:pPr>
        <w:ind w:left="960" w:hanging="44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advertising delivery and tracking system.</w:t>
      </w:r>
    </w:p>
    <w:p>
      <w:pPr>
        <w:spacing w:after="0" w:line="225" w:lineRule="exact"/>
        <w:rPr>
          <w:sz w:val="20"/>
          <w:szCs w:val="20"/>
          <w:color w:val="auto"/>
        </w:rPr>
      </w:pPr>
    </w:p>
    <w:p>
      <w:pPr>
        <w:ind w:right="140" w:firstLine="506"/>
        <w:spacing w:after="0" w:line="302" w:lineRule="auto"/>
        <w:rPr>
          <w:sz w:val="20"/>
          <w:szCs w:val="20"/>
          <w:color w:val="auto"/>
        </w:rPr>
      </w:pPr>
      <w:r>
        <w:rPr>
          <w:rFonts w:ascii="Arial" w:cs="Arial" w:eastAsia="Arial" w:hAnsi="Arial"/>
          <w:sz w:val="16"/>
          <w:szCs w:val="16"/>
          <w:color w:val="auto"/>
        </w:rPr>
        <w:t>Changes in government policy could also restrict or curtail our online advertising services. Moreover, the acceptance of the Internet as a medium for advertising depends on the development of a measurement standard. No standards have been widely accepted for the measurement of the effectiveness of online advertising. Industry-wide standards may not develop sufficiently to support the Internet as an effective advertising medium. If these standards do not develop, advertisers may choose not to advertise on the Internet in general or through our portals or search engines.</w:t>
      </w:r>
    </w:p>
    <w:p>
      <w:pPr>
        <w:spacing w:after="0" w:line="154" w:lineRule="exact"/>
        <w:rPr>
          <w:sz w:val="20"/>
          <w:szCs w:val="20"/>
          <w:color w:val="auto"/>
        </w:rPr>
      </w:pPr>
    </w:p>
    <w:p>
      <w:pPr>
        <w:ind w:right="160" w:firstLine="506"/>
        <w:spacing w:after="0" w:line="276" w:lineRule="auto"/>
        <w:rPr>
          <w:sz w:val="20"/>
          <w:szCs w:val="20"/>
          <w:color w:val="auto"/>
        </w:rPr>
      </w:pPr>
      <w:r>
        <w:rPr>
          <w:rFonts w:ascii="Arial" w:cs="Arial" w:eastAsia="Arial" w:hAnsi="Arial"/>
          <w:sz w:val="17"/>
          <w:szCs w:val="17"/>
          <w:color w:val="auto"/>
        </w:rPr>
        <w:t>In addition, competition in the online advertising industry in China is intense with numerous competitors such as Baidu, Inc., or Baidu, Sina Corporation, or Sina, Sohu.com Inc., or Sohu, Tencent Holdings Limited, or Tencent, Alibaba Group Holding Limited, or Alibaba, Youku Tudou Inc., or Youku, and other new entrants such as Qihoo 360 Technology Co. Ltd., or Qihoo, Phoenix New Media Limited, or iFeng.com as well as virtual portals such as SouFun Holdings Ltd. and Autohome Inc. The entry of additional, highly competitive Internet companies, whether domestic or international, into the Chinese market has and may continue to further heighten competition for advertising spending in China.</w:t>
      </w:r>
    </w:p>
    <w:p>
      <w:pPr>
        <w:spacing w:after="0" w:line="173" w:lineRule="exact"/>
        <w:rPr>
          <w:sz w:val="20"/>
          <w:szCs w:val="20"/>
          <w:color w:val="auto"/>
        </w:rPr>
      </w:pPr>
    </w:p>
    <w:p>
      <w:pPr>
        <w:ind w:right="120" w:firstLine="506"/>
        <w:spacing w:after="0" w:line="293" w:lineRule="auto"/>
        <w:rPr>
          <w:sz w:val="20"/>
          <w:szCs w:val="20"/>
          <w:color w:val="auto"/>
        </w:rPr>
      </w:pPr>
      <w:r>
        <w:rPr>
          <w:rFonts w:ascii="Arial" w:cs="Arial" w:eastAsia="Arial" w:hAnsi="Arial"/>
          <w:sz w:val="16"/>
          <w:szCs w:val="16"/>
          <w:color w:val="auto"/>
        </w:rPr>
        <w:t>As competition intensified for advertising services, we launched new marketing strategies to grow our advertising business and to cater to changes in the needs of our advertising services customers. In particular, we increased our sales staff to support more direct contacts with advertisers. In addition, to increase traffic on the NetEase websites and enhance the websites’ appeal to advertisers, we have been focusing on high profile sporting events, including a partnership with the national football teams of Brazil and Spain to broadcast the 2014 World Cup on our portal and our mobile news application, NetEase News App. We believe that these efforts, together with other factors, contributed to the growth of our net revenues from advertising services in recent years. We cannot assure you, however, that any of these efforts will continue to be successful in improving the financial results of our advertising business.</w:t>
      </w:r>
    </w:p>
    <w:p>
      <w:pPr>
        <w:spacing w:after="0" w:line="165" w:lineRule="exact"/>
        <w:rPr>
          <w:sz w:val="20"/>
          <w:szCs w:val="20"/>
          <w:color w:val="auto"/>
        </w:rPr>
      </w:pPr>
    </w:p>
    <w:p>
      <w:pPr>
        <w:ind w:right="760" w:firstLine="506"/>
        <w:spacing w:after="0" w:line="277" w:lineRule="auto"/>
        <w:rPr>
          <w:sz w:val="20"/>
          <w:szCs w:val="20"/>
          <w:color w:val="auto"/>
        </w:rPr>
      </w:pPr>
      <w:r>
        <w:rPr>
          <w:rFonts w:ascii="Arial" w:cs="Arial" w:eastAsia="Arial" w:hAnsi="Arial"/>
          <w:sz w:val="18"/>
          <w:szCs w:val="18"/>
          <w:color w:val="auto"/>
        </w:rPr>
        <w:t>If the Internet does not become more widely accepted as a medium for advertising in China, our ability to generate increased revenue will be negatively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keep up with rapid changes in technologies and user behavior, our future success may be adversely affected.</w:t>
      </w:r>
    </w:p>
    <w:p>
      <w:pPr>
        <w:spacing w:after="0" w:line="229" w:lineRule="exact"/>
        <w:rPr>
          <w:sz w:val="20"/>
          <w:szCs w:val="20"/>
          <w:color w:val="auto"/>
        </w:rPr>
      </w:pPr>
    </w:p>
    <w:p>
      <w:pPr>
        <w:ind w:right="40" w:firstLine="506"/>
        <w:spacing w:after="0" w:line="270" w:lineRule="auto"/>
        <w:rPr>
          <w:sz w:val="20"/>
          <w:szCs w:val="20"/>
          <w:color w:val="auto"/>
        </w:rPr>
      </w:pPr>
      <w:r>
        <w:rPr>
          <w:rFonts w:ascii="Arial" w:cs="Arial" w:eastAsia="Arial" w:hAnsi="Arial"/>
          <w:sz w:val="17"/>
          <w:szCs w:val="17"/>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3G, 4G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 to operate a social instant messaging application may not succeed.</w:t>
      </w:r>
    </w:p>
    <w:p>
      <w:pPr>
        <w:spacing w:after="0" w:line="229" w:lineRule="exact"/>
        <w:rPr>
          <w:sz w:val="20"/>
          <w:szCs w:val="20"/>
          <w:color w:val="auto"/>
        </w:rPr>
      </w:pPr>
    </w:p>
    <w:p>
      <w:pPr>
        <w:ind w:right="40" w:firstLine="506"/>
        <w:spacing w:after="0" w:line="291" w:lineRule="auto"/>
        <w:rPr>
          <w:sz w:val="20"/>
          <w:szCs w:val="20"/>
          <w:color w:val="auto"/>
        </w:rPr>
      </w:pPr>
      <w:r>
        <w:rPr>
          <w:rFonts w:ascii="Arial" w:cs="Arial" w:eastAsia="Arial" w:hAnsi="Arial"/>
          <w:sz w:val="16"/>
          <w:szCs w:val="16"/>
          <w:color w:val="auto"/>
        </w:rPr>
        <w:t>We established a new joint venture in 2013 with China Telecom Corporation Limited, or China Telecom, to develop and operate YiChat, a new proprietary social instant messaging application for smartphones. As our social instant messaging application business has a limited operating history, there is limited information upon which you can evaluate its prospects and we may not be able to successfully develop it into one of our primary businesses or to successfully compete against more established social instant messaging applications in China such as Tencent’s WeChat. Furthermore, as part of this new business venture, we need to incur costs to continue to develop and improve our technology, human resources, financial and management controls and our reporting systems and procedures. We cannot assure you that we will be able to efficiently or effectively manage or grow this new business, and any failure to do so may materially and adversely affect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0" w:gutter="0" w:footer="0" w:header="0"/>
        </w:sectPr>
      </w:pPr>
    </w:p>
    <w:bookmarkStart w:id="9" w:name="page10"/>
    <w:bookmarkEnd w:id="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experienced a decline in the rate of growth of our online games which appears to be a result of the outbreak of severe acute respiratory syndrome, or SARS, in 2003. Any recurrence of SARS or another widespread public health problem could adversely affect our business and results of operations.</w:t>
      </w:r>
    </w:p>
    <w:p>
      <w:pPr>
        <w:spacing w:after="0" w:line="180" w:lineRule="exact"/>
        <w:rPr>
          <w:sz w:val="20"/>
          <w:szCs w:val="20"/>
          <w:color w:val="auto"/>
        </w:rPr>
      </w:pPr>
    </w:p>
    <w:p>
      <w:pPr>
        <w:ind w:right="100" w:firstLine="506"/>
        <w:spacing w:after="0" w:line="264" w:lineRule="auto"/>
        <w:rPr>
          <w:sz w:val="20"/>
          <w:szCs w:val="20"/>
          <w:color w:val="auto"/>
        </w:rPr>
      </w:pPr>
      <w:r>
        <w:rPr>
          <w:rFonts w:ascii="Arial" w:cs="Arial" w:eastAsia="Arial" w:hAnsi="Arial"/>
          <w:sz w:val="18"/>
          <w:szCs w:val="18"/>
          <w:color w:val="auto"/>
        </w:rPr>
        <w:t>During April and May 2003, we experienced a decline in the rate of growth of our online game services which we believe resulted from the closure of Internet cafés in Beijing and elsewhere to prevent the spread of SARS. Many users of our online game services can only access those services at Internet cafés.</w:t>
      </w:r>
    </w:p>
    <w:p>
      <w:pPr>
        <w:spacing w:after="0" w:line="181" w:lineRule="exact"/>
        <w:rPr>
          <w:sz w:val="20"/>
          <w:szCs w:val="20"/>
          <w:color w:val="auto"/>
        </w:rPr>
      </w:pPr>
    </w:p>
    <w:p>
      <w:pPr>
        <w:jc w:val="both"/>
        <w:ind w:right="160" w:firstLine="506"/>
        <w:spacing w:after="0" w:line="257" w:lineRule="auto"/>
        <w:rPr>
          <w:sz w:val="20"/>
          <w:szCs w:val="20"/>
          <w:color w:val="auto"/>
        </w:rPr>
      </w:pPr>
      <w:r>
        <w:rPr>
          <w:rFonts w:ascii="Arial" w:cs="Arial" w:eastAsia="Arial" w:hAnsi="Arial"/>
          <w:sz w:val="18"/>
          <w:szCs w:val="18"/>
          <w:color w:val="auto"/>
        </w:rPr>
        <w:t>There have been confirmed human cases of the H5N1 strain of influenza virus, commonly referred to as “bird flu” or “avian influenza,” in the PRC, Vietnam, Iraq, Thailand, Indonesia, Turkey, Cambodia and other countries, which have proven fatal in some instances. In addition, in April 2009, H1N1, a new strain of the influenza virus commonly referred to as “swine flu,” was first discovered in North America and quickly spread to other parts of the world, including China. There have also been recent reports of outbreaks of an avian flu caused by the H7N9 virus, or H7N9, including confirmed human cases, in China.</w:t>
      </w:r>
    </w:p>
    <w:p>
      <w:pPr>
        <w:spacing w:after="0" w:line="188" w:lineRule="exact"/>
        <w:rPr>
          <w:sz w:val="20"/>
          <w:szCs w:val="20"/>
          <w:color w:val="auto"/>
        </w:rPr>
      </w:pPr>
    </w:p>
    <w:p>
      <w:pPr>
        <w:jc w:val="both"/>
        <w:ind w:right="120" w:firstLine="506"/>
        <w:spacing w:after="0" w:line="264" w:lineRule="auto"/>
        <w:rPr>
          <w:sz w:val="20"/>
          <w:szCs w:val="20"/>
          <w:color w:val="auto"/>
        </w:rPr>
      </w:pPr>
      <w:r>
        <w:rPr>
          <w:rFonts w:ascii="Arial" w:cs="Arial" w:eastAsia="Arial" w:hAnsi="Arial"/>
          <w:sz w:val="18"/>
          <w:szCs w:val="18"/>
          <w:color w:val="auto"/>
        </w:rPr>
        <w:t>A renewed outbreak of SARS, the spread of H5N1, H1N1 or H7N9, or another widespread public health problem in China, where virtually all of our revenue is derived, or in Beijing, Shanghai, Guangzhou or Hangzhou, where most of our employees are located, could have a negative effect on our business and operations.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operations may be impacted by a number of health-related factors, including, among other things:</w:t>
      </w:r>
    </w:p>
    <w:p>
      <w:pPr>
        <w:spacing w:after="0" w:line="225" w:lineRule="exact"/>
        <w:rPr>
          <w:sz w:val="20"/>
          <w:szCs w:val="20"/>
          <w:color w:val="auto"/>
        </w:rPr>
      </w:pPr>
    </w:p>
    <w:p>
      <w:pPr>
        <w:ind w:left="1000" w:hanging="48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quarantines or closures of some of our offices which would severely disrupt our operations;</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sickness or death of our key officers and employees;</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closure of Internet cafés and other public areas where people access the Internet; and</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general slowdown in the Chinese economy.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 foregoing events or other unforeseen consequences of public health problems could adversely affect our business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 of our business is dependent on our ability to retain our existing key employees and to add and retain senior officers to our management.</w:t>
      </w:r>
    </w:p>
    <w:p>
      <w:pPr>
        <w:spacing w:after="0" w:line="264"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7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revenues fluctuate significantly and may adversely impact the trading price of our American Depositary Shares, or ADSs, or any other securities which become publicly traded.</w:t>
      </w:r>
    </w:p>
    <w:p>
      <w:pPr>
        <w:spacing w:after="0" w:line="166" w:lineRule="exact"/>
        <w:rPr>
          <w:sz w:val="20"/>
          <w:szCs w:val="20"/>
          <w:color w:val="auto"/>
        </w:rPr>
      </w:pPr>
    </w:p>
    <w:p>
      <w:pPr>
        <w:ind w:right="140" w:firstLine="506"/>
        <w:spacing w:after="0" w:line="277" w:lineRule="auto"/>
        <w:rPr>
          <w:sz w:val="20"/>
          <w:szCs w:val="20"/>
          <w:color w:val="auto"/>
        </w:rPr>
      </w:pPr>
      <w:r>
        <w:rPr>
          <w:rFonts w:ascii="Arial" w:cs="Arial" w:eastAsia="Arial" w:hAnsi="Arial"/>
          <w:sz w:val="18"/>
          <w:szCs w:val="18"/>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170" w:lineRule="exact"/>
        <w:rPr>
          <w:sz w:val="20"/>
          <w:szCs w:val="20"/>
          <w:color w:val="auto"/>
        </w:rPr>
      </w:pPr>
    </w:p>
    <w:p>
      <w:pPr>
        <w:ind w:left="1000" w:hanging="486"/>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users to our websites and online games in the increasingly competitive Internet market in China;</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 our business strategies as planned; and</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update and develop our Internet applications, services, technologies and infrastructure.</w:t>
      </w:r>
    </w:p>
    <w:p>
      <w:pPr>
        <w:spacing w:after="0" w:line="2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being the strongest. Usage of our e-commerce services and online games has generally increased around the Chinese New Year holiday and other Chinese holidays, in particular winter and summer school holidays during which school-aged users have more time to use such services and play games.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fail to establish and maintain relationships with content providers, we may not be able to attract traffic to the NetEase websites and mobile apps.</w:t>
      </w:r>
    </w:p>
    <w:p>
      <w:pPr>
        <w:spacing w:after="0" w:line="166" w:lineRule="exact"/>
        <w:rPr>
          <w:sz w:val="20"/>
          <w:szCs w:val="20"/>
          <w:color w:val="auto"/>
        </w:rPr>
      </w:pPr>
    </w:p>
    <w:p>
      <w:pPr>
        <w:ind w:right="360" w:firstLine="506"/>
        <w:spacing w:after="0" w:line="342" w:lineRule="auto"/>
        <w:rPr>
          <w:sz w:val="20"/>
          <w:szCs w:val="20"/>
          <w:color w:val="auto"/>
        </w:rPr>
      </w:pPr>
      <w:r>
        <w:rPr>
          <w:rFonts w:ascii="Arial" w:cs="Arial" w:eastAsia="Arial" w:hAnsi="Arial"/>
          <w:sz w:val="16"/>
          <w:szCs w:val="16"/>
          <w:color w:val="auto"/>
        </w:rPr>
        <w:t>We rely on a number of third party relationships to attract traffic and provide content in order to make the NetEase websites and mobile apps more attractive to users and advertisers. Most of our arrangements with content providers are short-term and may be terminated at the convenience of the other</w:t>
      </w:r>
    </w:p>
    <w:p>
      <w:pPr>
        <w:sectPr>
          <w:pgSz w:w="11900" w:h="16867" w:orient="portrait"/>
          <w:cols w:equalWidth="0" w:num="1">
            <w:col w:w="11420"/>
          </w:cols>
          <w:pgMar w:left="240" w:top="517" w:right="239" w:bottom="0" w:gutter="0" w:footer="0" w:header="0"/>
        </w:sectPr>
      </w:pPr>
    </w:p>
    <w:bookmarkStart w:id="10" w:name="page11"/>
    <w:bookmarkEnd w:id="10"/>
    <w:p>
      <w:pPr>
        <w:ind w:right="100"/>
        <w:spacing w:after="0" w:line="255" w:lineRule="auto"/>
        <w:rPr>
          <w:sz w:val="20"/>
          <w:szCs w:val="20"/>
          <w:color w:val="auto"/>
        </w:rPr>
      </w:pPr>
      <w:r>
        <w:rPr>
          <w:rFonts w:ascii="Arial" w:cs="Arial" w:eastAsia="Arial" w:hAnsi="Arial"/>
          <w:sz w:val="18"/>
          <w:szCs w:val="18"/>
          <w:color w:val="auto"/>
        </w:rPr>
        <w:t>party. Some content providers have increased the fees they charge us for their content. This trend could increase our costs and operating expenses and could adversely affect our ability to obtain content at an economically acceptable cost. Moreover, our agreements with content providers are usually non-exclusive, although some of our competitors have been entering into exclusive arrangements for certain content, particularly online video content. If we are not able to renew our agreements with content providers or our competitors obtain exclusive rights to content which we wish to offer on the NetEase websites and mobile apps, the attractiveness of our portal to users will be severely impaired. Also, if other Internet companies present the same or similar content in a superior manner, it would adversely affect our visitor traffic.</w:t>
      </w:r>
    </w:p>
    <w:p>
      <w:pPr>
        <w:spacing w:after="0" w:line="189"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We expect that the increasing popularity of online video content among Internet users in China will increase our costs in future periods because it requires significant bandwidth to deliver and will likely necessitate our investments in new video streaming technology.</w:t>
      </w:r>
    </w:p>
    <w:p>
      <w:pPr>
        <w:spacing w:after="0" w:line="142" w:lineRule="exact"/>
        <w:rPr>
          <w:sz w:val="20"/>
          <w:szCs w:val="20"/>
          <w:color w:val="auto"/>
        </w:rPr>
      </w:pPr>
    </w:p>
    <w:p>
      <w:pPr>
        <w:ind w:right="100" w:firstLine="504"/>
        <w:spacing w:after="0" w:line="271" w:lineRule="auto"/>
        <w:rPr>
          <w:sz w:val="20"/>
          <w:szCs w:val="20"/>
          <w:color w:val="auto"/>
        </w:rPr>
      </w:pPr>
      <w:r>
        <w:rPr>
          <w:rFonts w:ascii="Arial" w:cs="Arial" w:eastAsia="Arial" w:hAnsi="Arial"/>
          <w:sz w:val="17"/>
          <w:szCs w:val="17"/>
          <w:color w:val="auto"/>
        </w:rPr>
        <w:t>We believe that online video content is becoming increasingly popular among Internet users in China and that we will need to offer a wide range of video content on the NetEase websites and mobile apps to attract users. Although advances in video compression technology have allowed reductions in the bandwidth required to deliver video content, such content still requires significantly more bandwidth than the other forms of content we offer on the NetEase websites and mobile apps. To enable users to access our video content quickly and reliably and remain competitive with other Internet portals in China and elsewhere, we anticipate that we will be required to invest in new video streaming technologies, including technologies developed by third parties. Currently, we obtain technology service support from certain technology companies in providing video content on our websites and mobile apps in exchange of our advertising services. If we are unable to continue such exchange of services or pass on such increased costs to users, our costs will increase which could materially adversely affect our business and profitability.</w:t>
      </w:r>
    </w:p>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do not own Guangzhou NetEase Computer System Co., Ltd., or Guangzhou NetEase, and certain other affiliated entities, and if they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80"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Certain of our affiliated companies are owned by shareholders whose interests may differ from ours and those of our shareholders because they own a larger percentage of such companies than of our company. In particular, the business and operations of Guangzhou NetEase, as the operator of the NetEase websites and a provider of online games, e-mail, e-commerce and other fee-based premium services, its wholly-owned subsidiary, Wangyibao Co., Ltd., or Wangyibao, as the operator of our Wangyibao online payment platform, and the two majority-owned subsidiaries of Guangzhou NetEase, namely, Beijing NetEase Youdao Computer System Co., Ltd., or Youdao Computer, as a search-related business operator, and Beijing Guangyitong Advertising Co., Ltd., or Guangyitong Advertising, as an advertising firm, as well as certain other affiliated companies, are subject to Chinese laws and regulations that differ from the laws and regulations that govern the business and operations of NetEase. For example, Chinese laws and regulations require us to verify the content of third party advertising content we place on the NetEase websites, and we are partly dependent upon the conduct of Guangyitong Advertising, which is not directly subject to those laws and regulations, in order to ensure that we remain compliant with those laws and regulations. These affiliated companies or their ultimate shareholders could violate our arrangements with them by, among other things, failing to operate and maintain the NetEase websites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The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suffer significant delay or other obstacles in the process of enforcing these agreements and may materially and adversely affect our results of operations and financial position.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Because our contractual arrangements with Guangzhou NetEase and certain other affiliated entities and their ultimate shareholders do not detail the parties’ rights and obligations, our remedies for a breach of these arrangements are limited.</w:t>
      </w:r>
    </w:p>
    <w:p>
      <w:pPr>
        <w:spacing w:after="0" w:line="16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current relationship with Guangzhou NetEase and certain other affiliated entities and their ultimate shareholders is based on a number of contracts, and these affiliated companies are considered our “variable interest entities,” or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and certain other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w:t>
      </w:r>
    </w:p>
    <w:p>
      <w:pPr>
        <w:spacing w:after="0" w:line="162"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A majority of the share capital of Guangzhou NetEase, Guangyitong Advertising, Wangyibao and Youdao Computer and the entire share capital of Shanghai EaseNet is held by our major shareholder, who may cause these agreements to be amended in a manner that is adverse to us.</w:t>
      </w:r>
    </w:p>
    <w:p>
      <w:pPr>
        <w:spacing w:after="0" w:line="120" w:lineRule="exact"/>
        <w:rPr>
          <w:sz w:val="20"/>
          <w:szCs w:val="20"/>
          <w:color w:val="auto"/>
        </w:rPr>
      </w:pPr>
    </w:p>
    <w:p>
      <w:pPr>
        <w:ind w:right="160" w:firstLine="504"/>
        <w:spacing w:after="0" w:line="290" w:lineRule="auto"/>
        <w:rPr>
          <w:sz w:val="20"/>
          <w:szCs w:val="20"/>
          <w:color w:val="auto"/>
        </w:rPr>
      </w:pPr>
      <w:r>
        <w:rPr>
          <w:rFonts w:ascii="Arial" w:cs="Arial" w:eastAsia="Arial" w:hAnsi="Arial"/>
          <w:sz w:val="16"/>
          <w:szCs w:val="16"/>
          <w:color w:val="auto"/>
        </w:rPr>
        <w:t>Our major shareholder, William Lei Ding, directly or indirectly holds the majority interest in Guangzhou NetEase, Guangyitong Advertising,Wangyibao and Youdao Computer.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not be able to conduct our operations without the services provided by Guangzhou NetEase, Shanghai EaseNet and certain other affiliated entities.</w:t>
      </w:r>
    </w:p>
    <w:p>
      <w:pPr>
        <w:sectPr>
          <w:pgSz w:w="11900" w:h="16838" w:orient="portrait"/>
          <w:cols w:equalWidth="0" w:num="1">
            <w:col w:w="11420"/>
          </w:cols>
          <w:pgMar w:left="240" w:top="125" w:right="239" w:bottom="0" w:gutter="0" w:footer="0" w:header="0"/>
        </w:sectPr>
      </w:pPr>
    </w:p>
    <w:bookmarkStart w:id="11" w:name="page12"/>
    <w:bookmarkEnd w:id="11"/>
    <w:p>
      <w:pPr>
        <w:ind w:right="60" w:firstLine="510"/>
        <w:spacing w:after="0" w:line="255" w:lineRule="auto"/>
        <w:rPr>
          <w:sz w:val="20"/>
          <w:szCs w:val="20"/>
          <w:color w:val="auto"/>
        </w:rPr>
      </w:pPr>
      <w:r>
        <w:rPr>
          <w:rFonts w:ascii="Arial" w:cs="Arial" w:eastAsia="Arial" w:hAnsi="Arial"/>
          <w:sz w:val="18"/>
          <w:szCs w:val="18"/>
          <w:color w:val="auto"/>
        </w:rPr>
        <w:t>Our operations are currently dependent upon our commercial relationships with Guangzhou NetEase, Shanghai EaseNet and certain other affiliated entities, and we derive most of our revenues from these companies. If these companies are unwilling or unable to perform the agreements which we have entered into with them, we may not be able to conduct our operations in the manner in which we currently conduct. In addition, Guangzhou NetEase, Shanghai EaseNet and certain other affiliated entities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of our shareholders has significant influence over our company.</w:t>
      </w:r>
    </w:p>
    <w:p>
      <w:pPr>
        <w:spacing w:after="0" w:line="229" w:lineRule="exact"/>
        <w:rPr>
          <w:sz w:val="20"/>
          <w:szCs w:val="20"/>
          <w:color w:val="auto"/>
        </w:rPr>
      </w:pPr>
    </w:p>
    <w:p>
      <w:pPr>
        <w:ind w:firstLine="504"/>
        <w:spacing w:after="0" w:line="255" w:lineRule="auto"/>
        <w:rPr>
          <w:sz w:val="20"/>
          <w:szCs w:val="20"/>
          <w:color w:val="auto"/>
        </w:rPr>
      </w:pPr>
      <w:r>
        <w:rPr>
          <w:rFonts w:ascii="Arial" w:cs="Arial" w:eastAsia="Arial" w:hAnsi="Arial"/>
          <w:sz w:val="18"/>
          <w:szCs w:val="18"/>
          <w:color w:val="auto"/>
        </w:rPr>
        <w:t>Our founder, Chief Executive Officer and director, William Lei Ding, beneficially owned, as of December 31, 2014, approximately 44.6%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w:t>
      </w:r>
    </w:p>
    <w:p>
      <w:pPr>
        <w:spacing w:after="0" w:line="142"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ADSs and service any debt we may incur. PRC tax authorities may also require us to amend our contractual arrangements with Guangzhou NetEase, Shanghai EaseNet and certain other affiliated entities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variable interest entities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below for further details. Any limitation on the ability of our PRC subsidiaries and variable interest entities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7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addition,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variable interest entities are not permitted under PRC law to directly lend money to one another. Therefore, it is difficult to change our capital expenditure plans once the relevant funds have been remitted from our company to our PRC subsidiaries or variable interest entities. These limitations on the free flow of funds between us and our PRC subsidiaries and variable interest entities could restrict our ability to act in response to changing market conditions and reallocate funds internally in a timely manner.</w:t>
      </w:r>
    </w:p>
    <w:p>
      <w:pPr>
        <w:spacing w:after="0" w:line="18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arrangements with Guangzhou NetEase, Shanghai EaseNet and certain other affiliated entities and their respective shareholders may cause a transfer pricing adjustment and may be subject to scrutiny by the PRC tax authorities.</w:t>
      </w:r>
    </w:p>
    <w:p>
      <w:pPr>
        <w:spacing w:after="0" w:line="166" w:lineRule="exact"/>
        <w:rPr>
          <w:sz w:val="20"/>
          <w:szCs w:val="20"/>
          <w:color w:val="auto"/>
        </w:rPr>
      </w:pPr>
    </w:p>
    <w:p>
      <w:pPr>
        <w:ind w:right="420" w:firstLine="510"/>
        <w:spacing w:after="0" w:line="257" w:lineRule="auto"/>
        <w:rPr>
          <w:sz w:val="20"/>
          <w:szCs w:val="20"/>
          <w:color w:val="auto"/>
        </w:rPr>
      </w:pPr>
      <w:r>
        <w:rPr>
          <w:rFonts w:ascii="Arial" w:cs="Arial" w:eastAsia="Arial" w:hAnsi="Arial"/>
          <w:sz w:val="18"/>
          <w:szCs w:val="18"/>
          <w:color w:val="auto"/>
        </w:rPr>
        <w:t>We could face material and adverse tax consequences if the PRC tax authorities determine that our contracts with Guangzhou NetEase, Shanghai EaseNet and certain other affiliated entities and their respective shareholders were not entered into based on arm’s length negotiations. Although our contractual arrangements are similar to those of other companies conducting similar operations in China, if the PRC tax authorities determine that these contracts were not entered into on an arm’s length basis, they may adjust our income and expenses for PRC tax purposes in the form of a transfer pricing adjustment which may result in an increase in our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transfer of shares of Guangzhou NetEase, Shanghai EaseNet or certain other affiliated entities may trigger tax liability.</w:t>
      </w:r>
    </w:p>
    <w:p>
      <w:pPr>
        <w:spacing w:after="0" w:line="229" w:lineRule="exact"/>
        <w:rPr>
          <w:sz w:val="20"/>
          <w:szCs w:val="20"/>
          <w:color w:val="auto"/>
        </w:rPr>
      </w:pPr>
    </w:p>
    <w:p>
      <w:pPr>
        <w:ind w:right="140" w:firstLine="510"/>
        <w:spacing w:after="0" w:line="297" w:lineRule="auto"/>
        <w:rPr>
          <w:sz w:val="20"/>
          <w:szCs w:val="20"/>
          <w:color w:val="auto"/>
        </w:rPr>
      </w:pPr>
      <w:r>
        <w:rPr>
          <w:rFonts w:ascii="Arial" w:cs="Arial" w:eastAsia="Arial" w:hAnsi="Arial"/>
          <w:sz w:val="16"/>
          <w:szCs w:val="16"/>
          <w:color w:val="auto"/>
        </w:rPr>
        <w:t>If we need to cause the transfer of shareholdings of Guangzhou NetEase, Shanghai EaseNet or certain other affiliated entities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16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Effective as of January 1, 2008, the Chinese government adopted the Enterprise Income Tax Law, as further clarified by subsequent tax regulations implementing the new income tax law, which unified the enterprise income tax rates payable by domestic and foreign-invested enterprises at 25.0%. Preferential tax treatments continue to be granted to entities that conduct business in encouraged sectors and to entities that are classified as “High and New Technology Enterprises”, or HNTEs, or “Software Enterprises” or “Key Software Enterprises”, whether such entities are foreign invested enterprises or domestic companies.</w:t>
      </w:r>
    </w:p>
    <w:p>
      <w:pPr>
        <w:sectPr>
          <w:pgSz w:w="11900" w:h="16838" w:orient="portrait"/>
          <w:cols w:equalWidth="0" w:num="1">
            <w:col w:w="11420"/>
          </w:cols>
          <w:pgMar w:left="240" w:top="125" w:right="239" w:bottom="0" w:gutter="0" w:footer="0" w:header="0"/>
        </w:sectPr>
      </w:pPr>
    </w:p>
    <w:bookmarkStart w:id="12" w:name="page13"/>
    <w:bookmarkEnd w:id="12"/>
    <w:p>
      <w:pPr>
        <w:ind w:right="20" w:firstLine="504"/>
        <w:spacing w:after="0" w:line="302" w:lineRule="auto"/>
        <w:rPr>
          <w:sz w:val="20"/>
          <w:szCs w:val="20"/>
          <w:color w:val="auto"/>
        </w:rPr>
      </w:pPr>
      <w:r>
        <w:rPr>
          <w:rFonts w:ascii="Arial" w:cs="Arial" w:eastAsia="Arial" w:hAnsi="Arial"/>
          <w:sz w:val="16"/>
          <w:szCs w:val="16"/>
          <w:color w:val="auto"/>
        </w:rPr>
        <w:t>A number of our subsidiaries enjoy preferential tax rates by being recognized as a HNTE and/or a “Key Software Enterprise.” For example, in 2013, NetEase Beijing, Boguan and NetEase (Hangzhou) Network Co., Ltd., or NetEase Hangzhou, were approved as “Key Software Enterprises” and enjoyed preferential tax rates of 10.0% from 2011 to 2014. In 2014, Lede Technology Co., Ltd., or Lede Technology, was recognized as a “Software Enterprise” and is exempt from EIT for 2014 and 2015 and subject to a 50% reduction in its EIT rate from 2016 to 2018. See Item 5.A. “Operating Results — Income Taxes.”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94"/>
        <w:spacing w:after="0" w:line="273" w:lineRule="auto"/>
        <w:rPr>
          <w:sz w:val="20"/>
          <w:szCs w:val="20"/>
          <w:color w:val="auto"/>
        </w:rPr>
      </w:pPr>
      <w:r>
        <w:rPr>
          <w:rFonts w:ascii="Arial" w:cs="Arial" w:eastAsia="Arial" w:hAnsi="Arial"/>
          <w:sz w:val="17"/>
          <w:szCs w:val="17"/>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status are subject to an annual assessment by the relevant government authorities in China. Without any preferential tax status, the standard EIT rate is 25.0%. Moreover, if there are further changes to the relevant income tax laws and their implementation, our subsidiaries and variable interest entities may need to pay additional taxes, which could have a material adverse effect on our results of operations.</w:t>
      </w:r>
    </w:p>
    <w:p>
      <w:pPr>
        <w:spacing w:after="0" w:line="174"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46"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Under the Enterprise Income Tax Law, enterprises established outside of the PRC whose “de facto management bodies” are located in the PRC are considered “resident enterprises,” and will generally be subject to the uniform 25.0% enterprise income tax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78"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6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enterprise income tax if such gains are regarded as income derived from sources within the PRC. A lower withholding income tax rate of 5.0% is applied if the “non-resident enterprises” are registered in Hong Kong or other jurisdictions that have a favorable tax treaty arrangement with China. Nevertheless, the PRC State Administration of Taxation promulgated a tax notice on October 27, 2009, or Circular 601, which provides that tax treaty benefits will be denied to “conduit” or shell companies without business substance, and a beneficial ownership analysis will be used based on a “substance-over-form” principle to determine whether or not to grant tax treaty benefits. It is unclear at this stage whether Circular 601 applies to dividends from our PRC subsidiaries paid to us through our Hong Kong subsidiaries. It is possible that under Circular 601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7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Because we may be treated as a “resident enterprise,” any dividends paid to the corporate shareholders or shareholders appearing as corporate entities on the share registers of NetEase, Inc. which are considered “non-resident enterprises” may be subject to withholding income tax, and gains realized on the transfer of our ordinary shares or ADSs by such shareholders may be subject to PRC income tax, which may adversely and materially affect the value of the investment in our shares or ADSs.</w:t>
      </w:r>
    </w:p>
    <w:p>
      <w:pPr>
        <w:spacing w:after="0" w:line="183"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If we fail to maintain an effective system of internal control over financial reporting, we may lose investor confidence in the reliability of our financial statements which in turn could negatively impact the trading price of our ADSs or otherwise harm our reputation.</w:t>
      </w:r>
    </w:p>
    <w:p>
      <w:pPr>
        <w:spacing w:after="0" w:line="14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and concluded that our internal control over financial reporting was effective as of December 31, 2014. Our independent registered public accounting firm has also, in its audit report, concluded that our internal control over financial reporting was effective in all material aspects as of December 31, 2014. Please refer to Item 15 “Controls and Procedures— Management’s Annual Report on Internal Control over Financial Reporting and Attestation Report of the Registered Public Accounting Firm.”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network interruption caused by system failures may reduce visitor traffic and harm our reputation.</w:t>
      </w:r>
    </w:p>
    <w:p>
      <w:pPr>
        <w:sectPr>
          <w:pgSz w:w="11900" w:h="16838" w:orient="portrait"/>
          <w:cols w:equalWidth="0" w:num="1">
            <w:col w:w="11420"/>
          </w:cols>
          <w:pgMar w:left="240" w:top="125" w:right="239" w:bottom="0" w:gutter="0" w:footer="0" w:header="0"/>
        </w:sectPr>
      </w:pPr>
    </w:p>
    <w:bookmarkStart w:id="13" w:name="page14"/>
    <w:bookmarkEnd w:id="13"/>
    <w:p>
      <w:pPr>
        <w:ind w:right="40" w:firstLine="510"/>
        <w:spacing w:after="0" w:line="297" w:lineRule="auto"/>
        <w:rPr>
          <w:sz w:val="20"/>
          <w:szCs w:val="20"/>
          <w:color w:val="auto"/>
        </w:rPr>
      </w:pPr>
      <w:r>
        <w:rPr>
          <w:rFonts w:ascii="Arial" w:cs="Arial" w:eastAsia="Arial" w:hAnsi="Arial"/>
          <w:sz w:val="16"/>
          <w:szCs w:val="16"/>
          <w:color w:val="auto"/>
        </w:rPr>
        <w:t>Both the continual accessibility of the NetEase websites and the performance and reliability of our technical infrastructure are critical to our reputation and the ability of the NetEase websites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appeal to users and advertisers. As the number of NetEase Web pages and traffic increase, we cannot assure you that we will be able to scale our systems proportionately. In addition, any system failures and electrical outages could materially and adversely impact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vulnerable to natural disasters and other events.</w:t>
      </w:r>
    </w:p>
    <w:p>
      <w:pPr>
        <w:spacing w:after="0" w:line="229"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cannot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w:t>
      </w:r>
    </w:p>
    <w:p>
      <w:pPr>
        <w:spacing w:after="0" w:line="173"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We carry property insurance with low coverage limits that may not be adequate to compensate us for all losses, particularly with respect to loss of business and reputation, that may occur.</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fire, floods, droughts, typhoons, earthquakes and other natural disasters could result in material disruptions of our operations and adversely affect our revenues and profit. For example, the PRC government declared April 21, 2010 as a national mourning day for the April 14, 2010 earthquake centered in Qinghai Province. As required by the PRC government, we and the other major online game operators in China suspended our game operations during this national mourning day.</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may be subject to breaches of our information technology systems, which could materially adversely affect our reputation and our results of operations and financial position and expose us to liability claims.</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Any compromise of the security of our information technology systems could materially adversely affect the operations of NetEase’s websites, online games and other services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Hackers develop and deploy viruses, worms, and other malicious software programs to attack websites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Although we believe that we have not experienced any hacking activity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to system security, data encryption, and other security measures to protect our systems and data, but these security measures cannot provide absolute security. We may experience a breach of our systems and may be unable to protect sensitive data. For example, if our data on the purchase and consumption of virtual items by our game players is compromised, our ability to accurately recognize revenues from certain of our online games and the playing experience of our game players could be materially and adversely affected. Moreover, if a computer security breach affects our systems or results in the unauthorized release of personal information and other data of our users, our reputation and brand could be materially damaged and use of the NetEase websites and our services could decrease. We could also be exposed to a risk of loss or litigation and possible liability, which could result in a material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laws and other obligations regarding data protection in China.</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VIEs, and among our company, our subsidiaries, VIEs and other parties with which we have commercial relations. These laws are continuing to develop, and the PRC government may adopt other rules and restrictions in the future. Complying with emerging and changing requirements may cause us to incur substantial costs or require us to change our business practices. Noncompliance could result in penalties or significant legal liability, including fines and public announcements of misconduct by the relevant telecommunication regulatory authorities.</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privacy policies and practices concerning the use and disclosure of data are posted on the NetEase websites.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results of operations and financial condition. In addition, any negative publicity on our website’s safety or privacy protection mechanism and policy could have a material and adverse effect on our business, results of operations and financial condition, public image and reputation.</w:t>
      </w:r>
    </w:p>
    <w:p>
      <w:pPr>
        <w:spacing w:after="0" w:line="15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Some of our players make sales and purchases of our game accounts and virtual items through third-party auction websites, which may have a negative effect on our net revenues.</w:t>
      </w:r>
    </w:p>
    <w:p>
      <w:pPr>
        <w:sectPr>
          <w:pgSz w:w="11900" w:h="16838" w:orient="portrait"/>
          <w:cols w:equalWidth="0" w:num="1">
            <w:col w:w="11400"/>
          </w:cols>
          <w:pgMar w:left="240" w:top="125" w:right="259" w:bottom="0" w:gutter="0" w:footer="0" w:header="0"/>
        </w:sectPr>
      </w:pPr>
    </w:p>
    <w:bookmarkStart w:id="14" w:name="page15"/>
    <w:bookmarkEnd w:id="14"/>
    <w:p>
      <w:pPr>
        <w:ind w:firstLine="510"/>
        <w:spacing w:after="0" w:line="255" w:lineRule="auto"/>
        <w:rPr>
          <w:sz w:val="20"/>
          <w:szCs w:val="20"/>
          <w:color w:val="auto"/>
        </w:rPr>
      </w:pPr>
      <w:r>
        <w:rPr>
          <w:rFonts w:ascii="Arial" w:cs="Arial" w:eastAsia="Arial" w:hAnsi="Arial"/>
          <w:sz w:val="18"/>
          <w:szCs w:val="18"/>
          <w:color w:val="auto"/>
        </w:rPr>
        <w:t>Some of our players make sales and purchases of our game accounts and virtual items through third-party auction websites in exchange for real money.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results of operations and financial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providers of bandwidth and server custody service fail to provide these services, our business could be materially curtailed.</w:t>
      </w:r>
    </w:p>
    <w:p>
      <w:pPr>
        <w:spacing w:after="0" w:line="22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rely on affiliates of China Unicom, China Telecom and CERNET to provide us with bandwidth and server custody service for Internet users to access the NetEase websites and online games. If China Unicom, China Telecom, CERNET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held liable for information displayed on, retrieved from or linked to the NetEase websites.</w:t>
      </w:r>
    </w:p>
    <w:p>
      <w:pPr>
        <w:spacing w:after="0" w:line="229"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We are involved in several intellectual property infringement claims or actions and are occasionally subject to defamation claims.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content that is accessible on the NetEase websites such as content and materials posted by users on message boards, online communities, voting systems, e-mail or chat rooms that are offered on the NetEase websites. By providing technology for hypertext links to third-party websites,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00" w:hanging="48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unsolicited e-mails;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lost or misplaced messages;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illegal or fraudulent use of e-mail; or</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or delays in e-mail service.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incur significant costs in investigating and defending these claims, even if they do not result in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displayed on, retrieved from or linked to the NetEase websites may subject us to claims of violating Chinese laws.</w:t>
      </w:r>
    </w:p>
    <w:p>
      <w:pPr>
        <w:spacing w:after="0" w:line="229" w:lineRule="exact"/>
        <w:rPr>
          <w:sz w:val="20"/>
          <w:szCs w:val="20"/>
          <w:color w:val="auto"/>
        </w:rPr>
      </w:pPr>
    </w:p>
    <w:p>
      <w:pPr>
        <w:ind w:right="20" w:firstLine="506"/>
        <w:spacing w:after="0" w:line="291" w:lineRule="auto"/>
        <w:rPr>
          <w:sz w:val="20"/>
          <w:szCs w:val="20"/>
          <w:color w:val="auto"/>
        </w:rPr>
      </w:pPr>
      <w:r>
        <w:rPr>
          <w:rFonts w:ascii="Arial" w:cs="Arial" w:eastAsia="Arial" w:hAnsi="Arial"/>
          <w:sz w:val="16"/>
          <w:szCs w:val="16"/>
          <w:color w:val="auto"/>
        </w:rPr>
        <w:t>Violations or perceived violations of Chinese laws arising from information displayed on, retrieved from or linked to the NetEase websites could result in significant penalties, including a temporary or complete cessation of our business. China has enacted regulations governing Internet access and the distribution of news and other information. Furthermore, the Propaganda Department of the Chinese Communist Party has been given the responsibility to censor news published in China to ensure, supervise and control a particular political ideology. In addition, the PRC Ministry of Industries and Information Technology, or MII (prior to the PRC government restructuring in March 2008, its predecessor, the Ministry of Information Industry), has published implementing regulations that subject online information providers to potential liability for content included in their portals and the actions of subscribers and others using their systems, including liability for violation of PRC laws prohibiting the distribution of content deemed to be socially destabilizing.</w:t>
      </w:r>
    </w:p>
    <w:p>
      <w:pPr>
        <w:spacing w:after="0" w:line="167" w:lineRule="exact"/>
        <w:rPr>
          <w:sz w:val="20"/>
          <w:szCs w:val="20"/>
          <w:color w:val="auto"/>
        </w:rPr>
      </w:pPr>
    </w:p>
    <w:p>
      <w:pPr>
        <w:jc w:val="both"/>
        <w:ind w:right="280" w:firstLine="510"/>
        <w:spacing w:after="0" w:line="264" w:lineRule="auto"/>
        <w:rPr>
          <w:sz w:val="20"/>
          <w:szCs w:val="20"/>
          <w:color w:val="auto"/>
        </w:rPr>
      </w:pPr>
      <w:r>
        <w:rPr>
          <w:rFonts w:ascii="Arial" w:cs="Arial" w:eastAsia="Arial" w:hAnsi="Arial"/>
          <w:sz w:val="18"/>
          <w:szCs w:val="18"/>
          <w:color w:val="auto"/>
        </w:rPr>
        <w:t>In addition, the Ministry of Public Security has from time to time prohibited the distribution over the Internet of information which it believes to be socially destabilizing. The Ministry of Public Security also has the authority to require any local Internet service provider to block any website maintained outside China at its sole discretion.</w:t>
      </w:r>
    </w:p>
    <w:p>
      <w:pPr>
        <w:spacing w:after="0" w:line="181" w:lineRule="exact"/>
        <w:rPr>
          <w:sz w:val="20"/>
          <w:szCs w:val="20"/>
          <w:color w:val="auto"/>
        </w:rPr>
      </w:pPr>
    </w:p>
    <w:p>
      <w:pPr>
        <w:ind w:right="180" w:firstLine="510"/>
        <w:spacing w:after="0" w:line="270" w:lineRule="auto"/>
        <w:rPr>
          <w:sz w:val="20"/>
          <w:szCs w:val="20"/>
          <w:color w:val="auto"/>
        </w:rPr>
      </w:pPr>
      <w:r>
        <w:rPr>
          <w:rFonts w:ascii="Arial" w:cs="Arial" w:eastAsia="Arial" w:hAnsi="Arial"/>
          <w:sz w:val="17"/>
          <w:szCs w:val="17"/>
          <w:color w:val="auto"/>
        </w:rPr>
        <w:t>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these pronouncements for content and materials posted or transmitted by users on message boards, virtual communities, chat rooms or e-mails. Furthermore, where the transmitted content clearly violates the laws of the PRC, we will be required to delete it. Moreover, if we consider transmitted content suspicious, we are required to report such content. We must also undergo computer security inspections, and if we fail to implement the relevant safeguards against security breaches, we may be shut down. In addition, under the relevant regulations, Internet companies which provide bulletin board systems, chat rooms or similar services, such as our company, must apply for the approval of the State Secrecy Bureau. As the implementing rules of these new regulations have not been issued, we do not know how or when we will be expected to comply, or how our business will be affected by the application of these regulations.</w:t>
      </w:r>
    </w:p>
    <w:p>
      <w:pPr>
        <w:spacing w:after="0" w:line="178"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If the Chinese government takes any action to limit or eliminate the distribution of information through the NetEase websites, or to limit or regulate any current or future community functions available to users or otherwise block the NetEase websites, our business would be significantly harmed.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adequately protect our intellectual property, and we may be exposed to infringement claims by third parties.</w:t>
      </w:r>
    </w:p>
    <w:p>
      <w:pPr>
        <w:spacing w:after="0" w:line="229" w:lineRule="exact"/>
        <w:rPr>
          <w:sz w:val="20"/>
          <w:szCs w:val="20"/>
          <w:color w:val="auto"/>
        </w:rPr>
      </w:pPr>
    </w:p>
    <w:p>
      <w:pPr>
        <w:ind w:right="80" w:firstLine="504"/>
        <w:spacing w:after="0" w:line="259" w:lineRule="auto"/>
        <w:rPr>
          <w:sz w:val="20"/>
          <w:szCs w:val="20"/>
          <w:color w:val="auto"/>
        </w:rPr>
      </w:pPr>
      <w:r>
        <w:rPr>
          <w:rFonts w:ascii="Arial" w:cs="Arial" w:eastAsia="Arial" w:hAnsi="Arial"/>
          <w:sz w:val="18"/>
          <w:szCs w:val="18"/>
          <w:color w:val="auto"/>
        </w:rPr>
        <w:t>We rely on a combination of copyright, trademark and trade secrecy laws and contractual restrictions on disclosure to protect our intellectual property rights. Our efforts to protect our proprietary rights may not be effective in preventing unauthorized parties from copying or otherwise obtaining and using our technology. Monitoring unauthorized use of our services is difficult and costly, and we cannot be certain that the steps we take will effectively prevent misappropriation of our technology.</w:t>
      </w:r>
    </w:p>
    <w:p>
      <w:pPr>
        <w:sectPr>
          <w:pgSz w:w="11900" w:h="16838" w:orient="portrait"/>
          <w:cols w:equalWidth="0" w:num="1">
            <w:col w:w="11420"/>
          </w:cols>
          <w:pgMar w:left="240" w:top="125" w:right="239" w:bottom="0" w:gutter="0" w:footer="0" w:header="0"/>
        </w:sectPr>
      </w:pPr>
    </w:p>
    <w:bookmarkStart w:id="15" w:name="page16"/>
    <w:bookmarkEnd w:id="15"/>
    <w:p>
      <w:pPr>
        <w:spacing w:after="0" w:line="13"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 and Proprietary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or become a passive foreign investment company, which could result in adverse U.S. federal income tax consequences to U.S. investors.</w:t>
      </w:r>
    </w:p>
    <w:p>
      <w:pPr>
        <w:spacing w:after="0" w:line="25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may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3"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We do not believe that we are currently a PFIC. However, because the PFIC determination is highly fact intensive and made at the end of each taxable year, there can be no assurance that we will not be a PFIC for the current or any future taxable year or that the U.S. Internal Revenue Service will not challenge our determination concerning our PFIC status.</w:t>
      </w:r>
    </w:p>
    <w:p>
      <w:pPr>
        <w:spacing w:after="0" w:line="18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If we are a PFIC in any year with respect to a U.S. Holder (as defined below), the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 U.S. Holders should consult their tax advisors regarding the potential application of the PFIC regime and related reporting requirements.</w:t>
      </w:r>
    </w:p>
    <w:p>
      <w:pPr>
        <w:spacing w:after="0" w:line="17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Item 10.E “Additional Information — Taxation — United States Federal Income Taxation.”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 legal environment in China could limit the legal protections available to you.</w:t>
      </w:r>
    </w:p>
    <w:p>
      <w:pPr>
        <w:spacing w:after="0" w:line="229" w:lineRule="exact"/>
        <w:rPr>
          <w:sz w:val="20"/>
          <w:szCs w:val="20"/>
          <w:color w:val="auto"/>
        </w:rPr>
      </w:pPr>
    </w:p>
    <w:p>
      <w:pPr>
        <w:ind w:right="40" w:firstLine="510"/>
        <w:spacing w:after="0" w:line="276" w:lineRule="auto"/>
        <w:rPr>
          <w:sz w:val="20"/>
          <w:szCs w:val="20"/>
          <w:color w:val="auto"/>
        </w:rPr>
      </w:pPr>
      <w:r>
        <w:rPr>
          <w:rFonts w:ascii="Arial" w:cs="Arial" w:eastAsia="Arial" w:hAnsi="Arial"/>
          <w:sz w:val="17"/>
          <w:szCs w:val="17"/>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30 years has significantly enhanced the protections afforded to foreign invested enterprises in China. However,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69" w:lineRule="exact"/>
        <w:rPr>
          <w:sz w:val="20"/>
          <w:szCs w:val="20"/>
          <w:color w:val="auto"/>
        </w:rPr>
      </w:pPr>
    </w:p>
    <w:p>
      <w:pPr>
        <w:ind w:right="2940"/>
        <w:spacing w:after="0" w:line="266" w:lineRule="auto"/>
        <w:rPr>
          <w:sz w:val="20"/>
          <w:szCs w:val="20"/>
          <w:color w:val="auto"/>
        </w:rPr>
      </w:pPr>
      <w:r>
        <w:rPr>
          <w:rFonts w:ascii="Arial" w:cs="Arial" w:eastAsia="Arial" w:hAnsi="Arial"/>
          <w:sz w:val="18"/>
          <w:szCs w:val="18"/>
          <w:b w:val="1"/>
          <w:bCs w:val="1"/>
          <w:color w:val="auto"/>
        </w:rPr>
        <w:t>Substantial uncertainties exist with respect to the enactment timetable, interpretation and implementation of a draft PRC Foreign Investment Law and how it may impact the viability of our current corporate structure, corporate governance and business operations.</w:t>
      </w:r>
    </w:p>
    <w:p>
      <w:pPr>
        <w:spacing w:after="0" w:line="180"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PRC Ministry of Commerce published a discussion draft of a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Foreign-Owned Enterprise Law, together with their implementation rules and ancillary regulations. The Ministry of Commerce is currently soliciting comments on this draft and substantial uncertainties exist with respect to its enactment timetable, interpretation and implementation.</w:t>
      </w:r>
    </w:p>
    <w:p>
      <w:pPr>
        <w:spacing w:after="0" w:line="188" w:lineRule="exact"/>
        <w:rPr>
          <w:sz w:val="20"/>
          <w:szCs w:val="20"/>
          <w:color w:val="auto"/>
        </w:rPr>
      </w:pPr>
    </w:p>
    <w:p>
      <w:pPr>
        <w:ind w:firstLine="504"/>
        <w:spacing w:after="0" w:line="287" w:lineRule="auto"/>
        <w:rPr>
          <w:sz w:val="20"/>
          <w:szCs w:val="20"/>
          <w:color w:val="auto"/>
        </w:rPr>
      </w:pPr>
      <w:r>
        <w:rPr>
          <w:rFonts w:ascii="Arial" w:cs="Arial" w:eastAsia="Arial" w:hAnsi="Arial"/>
          <w:sz w:val="16"/>
          <w:szCs w:val="16"/>
          <w:color w:val="auto"/>
        </w:rPr>
        <w:t>Among other things, the draft Foreign Investment Law proposes to expand the definition of foreign investment and to introduce the principle of “actual control” in determining whether a company is considered a foreign-invested enterprise. The draft Foreign Investment Law specifically proposes that entities established in China but “controlled” by foreign investors will be treated as foreign-invested enterprises, whereas an entity established in China by an investor from a foreign jurisdiction but “controlled” by PRC entities and/or citizens would be treated as a permitted PRC domestic investor in a restricted industry. In this connection, “control” is broadly defined in the draft law to cover the following summarized categories: (i) holding 50% or more of the shares, voting rights or other similar rights of the subject entity; (ii) holding less than 50% of the shares, voting rights or other similar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determined to be a foreign-invested enterprise, it will be subject to the foreign investment restrictions or prohibitions set forth in a ‘‘negative list,’’ to be separately issued by the State Council at a later date. If the underlying business of the foreign-invested enterprise falls within the negative list, market entry clearance by the Ministry of Commerce would be required for the establishment of such foreign-invested enterprise.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16" w:name="page17"/>
    <w:bookmarkEnd w:id="16"/>
    <w:p>
      <w:pPr>
        <w:ind w:right="100" w:firstLine="510"/>
        <w:spacing w:after="0" w:line="270" w:lineRule="auto"/>
        <w:rPr>
          <w:sz w:val="20"/>
          <w:szCs w:val="20"/>
          <w:color w:val="auto"/>
        </w:rPr>
      </w:pPr>
      <w:r>
        <w:rPr>
          <w:rFonts w:ascii="Arial" w:cs="Arial" w:eastAsia="Arial" w:hAnsi="Arial"/>
          <w:sz w:val="17"/>
          <w:szCs w:val="17"/>
          <w:color w:val="auto"/>
        </w:rPr>
        <w:t>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 and “Corporate History and Structure—Contractual Arrangements with Our Variable Interest Entities.” Under the draft Foreign Investment Law, variable interest entities that are controlled via contractual arrangements would also be deemed foreign-invested enterprises if they are ultimately “controlled” by foreign investors. Therefore, for any company with a VIE structure in a restricted industry category that is included on the “negative list”, the VIE structure may be permissible only if the ultimate controlling person(s) is/are of PRC nationality (either PRC companies or PRC citizens) or if such foreign investment has obtained market entry clearance from the Ministry of Commerce. Conversely, if the actual controlling person(s) is/are of foreign nationalities, then the variable interest entities will be treated as foreign-invested enterprises and any operations in a restricted industry category without prior market entry clearance may be considered illegal.</w:t>
      </w:r>
    </w:p>
    <w:p>
      <w:pPr>
        <w:spacing w:after="0" w:line="18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It is uncertain whether we would be considered to be ultimately controlled by Chinese parties. Mr. William Lei Ding, our director and chief executive officer and a PRC citizen, was the largest shareholder of NetEase as of the close of the period covered by the annual report, but shares owned by him constituted less than 50% of NetEase’s then total outstanding ordinary shares. It is uncertain whether Mr. Ding would be deemed to have control over NetEase under the draft Foreign Investment Law. Moreover, the draft Foreign Investment Law has not taken a position on what actions would be taken with respect to the existing companies with a VIE structure, whether or not these companies are controlled by Chinese parties. In addition, it is uncertain whether the industries of online games, online advertising, e-commerce and other services in which our variable interest entities operate will be subject to the foreign investment restrictions or prohibitions set forth in the ‘‘negative list’’ that is to be issued by the State Council. If the enacted version of the Foreign Investment Law and the final “negative list” mandate further actions, such as market entry clearance or restructuring of corporate structure and operations, to be completed by companies with existing VIE structure like us, there may be substantial uncertainties as to whether we can complete these actions in a timely manner, or at all, and our business and financial condition may be materially and adversely affected.</w:t>
      </w:r>
    </w:p>
    <w:p>
      <w:pPr>
        <w:spacing w:after="0" w:line="17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proposes to impose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foreign-invested enterprises meeting certain criteria are required to report on a quarterly basis. Also, the Ministry of Commerce may supervise and examine the foreign investors and the foreign-invested enterprises on a regular and irregular basis on their compliance with the Foreign Investment Law. Any company found to be non-compliant with these information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drafting, interpretation and enforcement in China involve significant uncertainty.</w:t>
      </w:r>
    </w:p>
    <w:p>
      <w:pPr>
        <w:spacing w:after="0" w:line="2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have entered into numerous contracts governed by PRC law, many of which are material to our business. As compared with contracts in the United States, contracts governed by PRC law tend to contain less detail and are not as comprehensive in defining contracting parties’ rights and obligations. As a result, contracts in China are more vulnerable to disputes and legal challenges. In addition, contract interpretation and enforcement in China is not as developed as in the United States, and the result of any contract dispute is subject to significant uncertainties. Therefore, we cannot assure you that we will not be subject to disputes under our material contracts, and if such disputes arise, we cannot assure you that we will prevail. Any dispute involving material contracts, even without merit, may materially and adversely affect our reputation and our business operations, and may cause the price of our ADSs to decline.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China’s political and economic policies could harm our business.</w:t>
      </w:r>
    </w:p>
    <w:p>
      <w:pPr>
        <w:spacing w:after="0" w:line="229" w:lineRule="exact"/>
        <w:rPr>
          <w:sz w:val="20"/>
          <w:szCs w:val="20"/>
          <w:color w:val="auto"/>
        </w:rPr>
      </w:pPr>
    </w:p>
    <w:p>
      <w:pPr>
        <w:ind w:right="60" w:firstLine="506"/>
        <w:spacing w:after="0" w:line="297" w:lineRule="auto"/>
        <w:rPr>
          <w:sz w:val="20"/>
          <w:szCs w:val="20"/>
          <w:color w:val="auto"/>
        </w:rPr>
      </w:pPr>
      <w:r>
        <w:rPr>
          <w:rFonts w:ascii="Arial" w:cs="Arial" w:eastAsia="Arial" w:hAnsi="Arial"/>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58" w:lineRule="exact"/>
        <w:rPr>
          <w:sz w:val="20"/>
          <w:szCs w:val="20"/>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structure;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government involvement in the economy;</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capital reinvestment;</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of foreign exchange;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methods of allocating resources; and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 of payments position.</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a result of these differences, our business may not develop in the same way or at the same rate as might be expected if the Chinese economy were similar to those of the OECD member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 in Renminbi exchange rates could adversely affect the value of our ADSs and any cash dividend declared on them.</w:t>
      </w:r>
    </w:p>
    <w:p>
      <w:pPr>
        <w:sectPr>
          <w:pgSz w:w="11900" w:h="16838" w:orient="portrait"/>
          <w:cols w:equalWidth="0" w:num="1">
            <w:col w:w="11420"/>
          </w:cols>
          <w:pgMar w:left="240" w:top="341" w:right="239" w:bottom="104" w:gutter="0" w:footer="0" w:header="0"/>
        </w:sectPr>
      </w:pPr>
    </w:p>
    <w:bookmarkStart w:id="17" w:name="page18"/>
    <w:bookmarkEnd w:id="17"/>
    <w:p>
      <w:pPr>
        <w:spacing w:after="0" w:line="28"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allowed the RMB to appreciate slowly against the U.S. dollar again, and it had appreciated more than 10% since June 2010 until it began to depreciate against the U.S. dollar in January 2014.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 of the RMB against the U.S. dollar. Our revenues are primarily denominated in Renminbi, and any significant depreciation of the RMB may affect the value of, and dividends (if any) payable on, our ADSs in U.S. dollar 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currency exchange may limit our ability to utilize our revenues effectively.</w:t>
      </w:r>
    </w:p>
    <w:p>
      <w:pPr>
        <w:spacing w:after="0" w:line="22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8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Under existing PRC foreign exchange regulations, payments of current account items, including payment of dividends, interest payments and trade and service-related foreign exchange transactions, can be made in foreign currencies without prior approval of the State Administration of Foreign Exchange, or SAFE, by complying with certain procedural requirements. Our PRC subsidiaries and affiliates may also retain foreign exchange in its current account to satisfy foreign exchange liabilities or to pay dividends. However, we cannot assure you that the relevant PRC governmental authorities will not limit or eliminate our ability to purchase and retain foreign currencies in the future.</w:t>
      </w:r>
    </w:p>
    <w:p>
      <w:pPr>
        <w:spacing w:after="0" w:line="188"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Foreign exchange transactions under the capital account are subject to limitations and require registration with or approval by the relevant PRC governmental authorities. In particular,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variable interest entities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variable interest entities by loans or capital contributions. We cannot assure you that we can obtain these governmental registrations or approvals on a timely basis, if at all.</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6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On March 28, 2007, SAFE promulgated the Application Procedure of Foreign Exchange Administration for Domestic Individuals Participating in Employee Stock Holding Plan or Share Option Plan of Overseas-Listed Company, or the Share Option Rule. On February 15, 2012, SAFE issued the Notices on Issues Concerning the Foreign Exchange Administration for Domestic Individuals Participating in Stock Incentive Plan of Overseas-Listed Company, or the Stock Incentive Plan Rule, which replaced the Share Option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We have registered with and obtained approvals from SAFE office in Beijing for the participants of our equity compensation plans who are PRC citizens. Nevertheless, if we or such PRC participants fail to comply with these regulations, we or such PRC participants may be subject to fines and other legal or administrative sanctions.</w:t>
      </w:r>
    </w:p>
    <w:p>
      <w:pPr>
        <w:spacing w:after="0" w:line="17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66"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The SAFE has adopted certain regulations that require registration with, and approval from, Chinese government authorities in connection with direct or indirect offshore investment activities by Chinese residents.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 offshore company.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66" w:lineRule="exact"/>
        <w:rPr>
          <w:sz w:val="20"/>
          <w:szCs w:val="20"/>
          <w:color w:val="auto"/>
        </w:rPr>
      </w:pPr>
    </w:p>
    <w:p>
      <w:pPr>
        <w:ind w:right="120" w:firstLine="510"/>
        <w:spacing w:after="0" w:line="302"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required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15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These regulations may have a significant impact on our present and future structuring and investment. We have requested our shareholders who to our knowledge are PRC residents to make the necessary applications, filings and amendments as required under these regulations. We intend to take all necessary measures for ensuring that all required applications and filings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w:t>
      </w:r>
    </w:p>
    <w:p>
      <w:pPr>
        <w:sectPr>
          <w:pgSz w:w="11900" w:h="16867" w:orient="portrait"/>
          <w:cols w:equalWidth="0" w:num="1">
            <w:col w:w="11420"/>
          </w:cols>
          <w:pgMar w:left="240" w:top="125" w:right="239" w:bottom="0" w:gutter="0" w:footer="0" w:header="0"/>
        </w:sectPr>
      </w:pPr>
    </w:p>
    <w:bookmarkStart w:id="18" w:name="page19"/>
    <w:bookmarkEnd w:id="18"/>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w:t>
      </w:r>
    </w:p>
    <w:p>
      <w:pPr>
        <w:spacing w:after="0" w:line="14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auditor, the independent registered public accounting firm that issued the audit report included elsewhere in this prospectus, as an auditor of companies that are registered with the SEC and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Our auditor is located in China and the PCAOB is currently unable to conduct inspections on auditors in China without the approval of the PRC authorities. The PCAOB announced on May 24, 2013 that it had entered into a Memorandum of Understanding on Enforcement Cooperation, or the MOU, with the China Securities Regulatory Commission, or the CSRC, and the PRC Ministry of Finance,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 As a result, our auditor, like other independent registered public accounting firms operating in China, is currently not inspected by the PCAOB.</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and such deficiencies may be addressed as part of the inspection process to improve future audit quality. The inability of the PCAOB to conduct inspections of independent registered public accounting firms operating in China makes it more difficult to evaluate the effectiveness of our auditor’s audit procedures or quality control procedures and, to the extent that such inspections might have facilitated improvements in our auditor’s audit procedures and quality control procedures, investors may be deprived of such benefits.</w:t>
      </w:r>
    </w:p>
    <w:p>
      <w:pPr>
        <w:spacing w:after="0" w:line="18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be adversely affected by the outcome of the administrative proceedings brought by the SEC against the Big Four PRC-based accounting firms.</w:t>
      </w:r>
    </w:p>
    <w:p>
      <w:pPr>
        <w:spacing w:after="0" w:line="166"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January 22, 2014, the administrative law judge presiding over the matter reached an initial decision that the firms had each violated the SEC’s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rules of practice by failing to produce the audit work papers and related documents directly to the SEC. The initial decision further determined that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firms should be censured and barred from practicing before the SEC for a period of six months.</w:t>
      </w:r>
    </w:p>
    <w:p>
      <w:pPr>
        <w:spacing w:after="0" w:line="211"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On February 6, 2015, the four China-based accounting firms each agreed to a censure and to pay a fine to the SEC to settle the dispute and avoid suspension of their ability to practice before the SEC and to audit U.S.-listed companies. The settlement required the firms to follow detailed procedures and to seek to provide the SEC with access to Chinese firms’ audit documents via the CSRC. If future document productions fail to meet specified criteria, the SEC retains the authority to impose a variety of additional remedial measures on the firms depending on the nature of the failure. While we cannot predict if the SEC will further review the Big Four PRC-based accounting firms’ compliance with specified criteria or if the results of such a review would result in the SEC imposing penalties such as suspensions or restarting the administrative proceedings, if the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may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TELECOMMUNICATIONS AND INTERNET INDUSTRIES IN CHINA</w:t>
      </w:r>
    </w:p>
    <w:p>
      <w:pPr>
        <w:spacing w:after="0" w:line="225"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Increased government regulation of the telecommunications and Internet industries in China may result in the Chinese government requiring us to obtain additional licenses or other governmental approvals to conduct our business which, if unattainable, may restrict our operations.</w:t>
      </w:r>
    </w:p>
    <w:p>
      <w:pPr>
        <w:spacing w:after="0" w:line="120" w:lineRule="exact"/>
        <w:rPr>
          <w:sz w:val="20"/>
          <w:szCs w:val="20"/>
          <w:color w:val="auto"/>
        </w:rPr>
      </w:pPr>
    </w:p>
    <w:p>
      <w:pPr>
        <w:ind w:right="460" w:firstLine="510"/>
        <w:spacing w:after="0" w:line="257" w:lineRule="auto"/>
        <w:rPr>
          <w:sz w:val="20"/>
          <w:szCs w:val="20"/>
          <w:color w:val="auto"/>
        </w:rPr>
      </w:pPr>
      <w:r>
        <w:rPr>
          <w:rFonts w:ascii="Arial" w:cs="Arial" w:eastAsia="Arial" w:hAnsi="Arial"/>
          <w:sz w:val="18"/>
          <w:szCs w:val="18"/>
          <w:color w:val="auto"/>
        </w:rPr>
        <w:t>The telecommunications industry, including Internet content provider, or ICP, services and online games, is highly regulated by the Chinese government, with the main relevant government authority being the MII. Pursuant to the Administrative Rules for Foreign Investments in Telecommunications Enterprises promulgated by the State Council dated December 5, 2001, foreign investors are allowed to hold in the aggregate up to 50.0% of the total equity in any value-added telecommunications business in China. In addition, foreign investors and foreign invested enterprises are currently not able to apply for the required licenses for operating online games in China.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504"/>
        <w:spacing w:after="0" w:line="291" w:lineRule="auto"/>
        <w:rPr>
          <w:sz w:val="20"/>
          <w:szCs w:val="20"/>
          <w:color w:val="auto"/>
        </w:rPr>
      </w:pPr>
      <w:r>
        <w:rPr>
          <w:rFonts w:ascii="Arial" w:cs="Arial" w:eastAsia="Arial" w:hAnsi="Arial"/>
          <w:sz w:val="16"/>
          <w:szCs w:val="16"/>
          <w:color w:val="auto"/>
        </w:rPr>
        <w:t>To operate the NetEase websites in compliance with all the relevant ICP-related Chinese regulations, Guangzhou NetEase successfully obtained ICP licenses issued by the Guangdong Provincial Telecommunications Bureau in 2000. The ICP license of Guangzhou NetEase issued by the Guangdong Provincial Telecommunications Bureau was replaced by the Value-Added Telecommunication Operating License issued by the MII in 2004, which was further replaced by the Value-Added Telecommunication Operating License issued by the Guangdong Provincial Telecommunications Bureau in 2009. Guangzhou NetEase has also obtained the following licenses and registrations: a website registration with the Guangzhou Municipal Administrative Bureau of Industry and Commerce, an audio-visual product operating license issued by Guangdong Culture Department to sell audio-visual products on the Internet, which was replaced by a publication operating license issued by the Administration of Culture, Radio, Film and Television, Press and Publication of</w:t>
      </w:r>
    </w:p>
    <w:p>
      <w:pPr>
        <w:sectPr>
          <w:pgSz w:w="11900" w:h="16932" w:orient="portrait"/>
          <w:cols w:equalWidth="0" w:num="1">
            <w:col w:w="11420"/>
          </w:cols>
          <w:pgMar w:left="240" w:top="125" w:right="239" w:bottom="0" w:gutter="0" w:footer="0" w:header="0"/>
        </w:sectPr>
      </w:pPr>
    </w:p>
    <w:bookmarkStart w:id="19" w:name="page20"/>
    <w:bookmarkEnd w:id="19"/>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Guangzhou, an Internet publishing license issued by General Administration of Press and Publication, an Internet Culture Operating License issued by the Ministry of Culture, or MOC, a license for online dissemination of drug-related information issued by Guangdong Food and Drug Administration, an Internet news information service license issued by the State Council Information Office, a permit for the Network Transmission of Audiovisual Programs issued by the State Administration of Radio, Film and Television, a permit for the production of audiovisual programs issued by the Radio, Film and Television Administration of Guangdong and a license for the sale of security products for computer information systems issued by the Ministry of Public Security. It has also received approvals for online dissemination of health information from the Department of Health of Guangdong Province and approvals for provision of online education-related information from the Department of Education of Guangdong Province. NetEase, Inc. relies exclusively on contractual arrangements with Guangzhou NetEase and its approvals to operate as an ICP. In addition, to operate the online games licensed from Blizzard in compliance with all the relevant ICP-related Chinese regulations, Shanghai EaseNet obtained a Value-Added Telecommunications Business Operating License issued by the Shanghai Provincial Telecommunications Bureau in October 2008 and an Internet Culture Operating License from MOC in October 2008.</w:t>
      </w:r>
    </w:p>
    <w:p>
      <w:pPr>
        <w:spacing w:after="0" w:line="169"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cannot be certain, however, that we or our affiliates will be granted renewals of existing licenses or any other additional license, permit or clearance we may need now or in the future. Moreover, we cannot be certain that any local or national ICP or telecommunications license requirements will not conflict with one another or that any given license will be deemed sufficient by the relevant governmental authorities for the provision of our services. There are substantial uncertainties regarding the interpretation of current PRC Internet laws and regulations. The PRC government may issue new interpretations of the regulations regarding supervision of the information industry from time to time. Any failure to obtain or maintain the licenses required to operate our businesses could have a material adverse effect on our business, results of operations and financial condition.</w:t>
      </w:r>
    </w:p>
    <w:p>
      <w:pPr>
        <w:spacing w:after="0" w:line="165"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addition, we are uncertain as to whether the Chinese government will reclassify our business as a media or retail company, due to our acceptance of fees for Internet advertising, online games and e-mail, e-commerce and other services as sources of revenues, or as a result of our current corporate structure. Such reclassification could subject us to penalties or fines or significant restrictions on our business. Moreover, NetEase, Inc. may have difficulties enforcing its rights under the agreements with Guangzhou NetEase, Guangyitong Advertising and Shanghai EaseNet if any of these parties breaches any of the agreements with them because NetEase, Inc. does not have approval from appropriate Chinese authorities to provide Internet content services, Internet advertising services or e-mail and e-commerce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Chinese government restricts the ability for foreign investors to invest in and operate in the telecommunications and online gaming businesses.</w:t>
      </w:r>
    </w:p>
    <w:p>
      <w:pPr>
        <w:spacing w:after="0" w:line="25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July 2006, the MII issued a notice to strengthen management of foreign investment in and operation of value-added telecommunication services. The notice emphasizes that foreign investors who wish to engage in value-added telecommunication services must strictly follow the relevant rules and regulations on foreign investment in telecommunication sectors. The notice also prohibits domestic telecommunication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the notice, either the holder of a value-added telecommunication service license or its shareholders must directly own the domain names and trademarks used by such license holders in their provision of value-added telecommunication services. The notice further requires each license holder to have the necessary facilities, including servers, for its approved business operations and to maintain such facilities in the regions covered by its license. Value-added services license holders are required to evaluate the compliance with the requirements set forth in the notice. To comply with these requirements, Guangzhou NetEase submitted its self-correction report to MII in 2007.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 xml:space="preserve">In September 2009, GAPP, together with the National Copyright Administration, and National Office of Combating Pornography and Illegal Publications jointly issued a </w:t>
      </w:r>
      <w:r>
        <w:rPr>
          <w:rFonts w:ascii="Arial" w:cs="Arial" w:eastAsia="Arial" w:hAnsi="Arial"/>
          <w:sz w:val="17"/>
          <w:szCs w:val="17"/>
          <w:i w:val="1"/>
          <w:iCs w:val="1"/>
          <w:color w:val="auto"/>
        </w:rPr>
        <w:t>Notice on Further Strengthening on the Administration of Pre-examination and Approval of Online Games and the Examination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Approval of Imported Online Games</w:t>
      </w:r>
      <w:r>
        <w:rPr>
          <w:rFonts w:ascii="Arial" w:cs="Arial" w:eastAsia="Arial" w:hAnsi="Arial"/>
          <w:sz w:val="17"/>
          <w:szCs w:val="17"/>
          <w:color w:val="auto"/>
        </w:rPr>
        <w:t>, or the GAPP Notice. The GAPP Notice restates that foreign investors are not permitted to invest in online game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It is unclear whether the authorities will deem our VIE structure as a kind of such “indirect ways” by foreign investors to gain control over or participate in domestic online game operators. If our VIE structure is deemed as one such “indirect way” under the GAPP Notice,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 In addition, the authorities would have broad discretion in dealing with such determination which may adversely impact our financial statements, operations and cash flows.</w:t>
      </w:r>
    </w:p>
    <w:p>
      <w:pPr>
        <w:spacing w:after="0" w:line="179"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We may be required under recently issued rules and regulations or by relevant government authorities to obtain governmental authorizations and approvals for providing e-commerce services related to third-party lottery products, which, if unattainable, may adversely affect our e-commerce business.</w:t>
      </w:r>
    </w:p>
    <w:p>
      <w:pPr>
        <w:spacing w:after="0" w:line="180" w:lineRule="exact"/>
        <w:rPr>
          <w:sz w:val="20"/>
          <w:szCs w:val="20"/>
          <w:color w:val="auto"/>
        </w:rPr>
      </w:pPr>
    </w:p>
    <w:p>
      <w:pPr>
        <w:ind w:right="140" w:firstLine="506"/>
        <w:spacing w:after="0" w:line="287" w:lineRule="auto"/>
        <w:rPr>
          <w:sz w:val="20"/>
          <w:szCs w:val="20"/>
          <w:color w:val="auto"/>
        </w:rPr>
      </w:pPr>
      <w:r>
        <w:rPr>
          <w:rFonts w:ascii="Arial" w:cs="Arial" w:eastAsia="Arial" w:hAnsi="Arial"/>
          <w:sz w:val="16"/>
          <w:szCs w:val="16"/>
          <w:color w:val="auto"/>
        </w:rPr>
        <w:t>We provide certain e-commerce services related to third-party lottery products. Under the Tentative Administrative Measures on Internet Lottery Sale promulgated by the PRC Ministry of Finance, or MOF, on September 26, 2010, an approval from the MOF is required for conducting an online lottery sales business. On January 18, 2012, the Implementation Rules of the Lottery Administration Regulations, or the Lottery Implementation Rules, were jointly issued by the MOF, the PRC Ministry of Civil Affairs and the State General Administration of Sport. The Lottery Implementation Rules became effective as of March 1, 2012 and explicitly stipulate that the welfare lotteries and sports lotteries sold without the approval of the MOF and the Lottery Issuing Authority’s and Lottery Sales Office’s commission may be categorized as illegal lotteries. In December 2012, the MOF issued the Lottery Distribution and Sale Administration Measures, which became effective on January 1, 2013, and the Tentative Administrative Measures on Telephone Lottery Sale, which became effective on April 1, 2014. These new measures expressly allow lottery sales online or via telephone after obtaining an approval from the MOF. However, there are no associated implementation rules. Under these newly issued rules or regulations, it is currently unclear if we need to obtain approval from the MOF with respect to our provision of e-commerce services related to third-party lottery products. We intend to apply for this approval if we are required to do so under any newly issued rules or regulations or by relevant government authorities. However, if we fail to obtain such approval if and when we are required to do so, we may be subject to regulatory penalties for lack of such approval, and our e-commerce business may be adversely affected.</w:t>
      </w:r>
    </w:p>
    <w:p>
      <w:pPr>
        <w:spacing w:after="0" w:line="16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January 15, 2015, the Notice on Issues Related to Self-Inspection and Self-Remedy of Unauthorized Online Lottery Sales, or the Lottery Self-Inspection Notice, was jointly issued by the MOF, the PRC Ministry of Civil Affairs and the State General Administration of Sport. In addition, on April 3,</w:t>
      </w:r>
    </w:p>
    <w:p>
      <w:pPr>
        <w:sectPr>
          <w:pgSz w:w="11900" w:h="16908" w:orient="portrait"/>
          <w:cols w:equalWidth="0" w:num="1">
            <w:col w:w="11420"/>
          </w:cols>
          <w:pgMar w:left="240" w:top="125" w:right="239" w:bottom="0" w:gutter="0" w:footer="0" w:header="0"/>
        </w:sectPr>
      </w:pPr>
    </w:p>
    <w:bookmarkStart w:id="20" w:name="page21"/>
    <w:bookmarkEnd w:id="20"/>
    <w:p>
      <w:pPr>
        <w:spacing w:after="0" w:line="3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2015, the MOF, the PRC Ministry of Public Security, the State Administration of Industry and Commerce, or SAIC, the MII, the PRC Ministry of Civil Affairs, the People’s Bank of China, the State General Administration of Sport and the China Banking Regulatory Commission jointly issued a public announcement (Announcement No. 18 of 2015) with regard to online lottery sales in China, or Announcement No. 18, which reaffirmed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After the issuance of the Lottery Self-Inspection Notice, we were informed by provincial sports lottery administration centers that, as part of their self-inspection process, they would temporarily suspend accepting online purchase orders for lottery products. The suspension began in late February 2015 and remained in effect after Announcement No. 18 and as of the date of this annual report. As a result, our e-commerce services related to third-party lottery products were affected and we have not been able to process online purchase orders for the suspended lottery products. We have received no information as to when the suspension may be lifted, if at all. A prolonged or permanent suspension will have a material adverse impact on our e-mail, e-commerce and others revenues, and our results of operations and prospects may be adversely affected.</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PRC government has intensified its regulation of Internet cafés, which are currently one of the primary venues for our users to access the NetEase websites and our services, especially online games. Intensified government regulation of Internet cafés could restrict our ability to maintain or increase our revenues and expand our customer base.</w:t>
      </w:r>
    </w:p>
    <w:p>
      <w:pPr>
        <w:spacing w:after="0" w:line="180" w:lineRule="exact"/>
        <w:rPr>
          <w:sz w:val="20"/>
          <w:szCs w:val="20"/>
          <w:color w:val="auto"/>
        </w:rPr>
      </w:pPr>
    </w:p>
    <w:p>
      <w:pPr>
        <w:ind w:firstLine="504"/>
        <w:spacing w:after="0" w:line="287" w:lineRule="auto"/>
        <w:rPr>
          <w:sz w:val="20"/>
          <w:szCs w:val="20"/>
          <w:color w:val="auto"/>
        </w:rPr>
      </w:pPr>
      <w:r>
        <w:rPr>
          <w:rFonts w:ascii="Arial" w:cs="Arial" w:eastAsia="Arial" w:hAnsi="Arial"/>
          <w:sz w:val="16"/>
          <w:szCs w:val="16"/>
          <w:color w:val="auto"/>
        </w:rPr>
        <w:t>In April 2001, the PRC government began tightening its regulation and supervision of Internet cafés, at which many of our users access the NetEase websites and our services, especially online games. In particular, a large number of unlicensed Internet cafés have been closed. In addition, the PRC government has imposed higher capital and facility requirements for the establishment of Internet cafés. Furthermore, the PRC government’s policy, which encourages the development of a limited number of national and regional Internet café chains and discourages the establishment of independent Internet cafés, may slow down the growth of Internet cafés. Moreover, in 2007 the State Administration of Industry and Commerce, one of the government agencies in charge of Internet café licensing, and other government agencies jointly issued a notice temporarily suspending the issuance of new Internet café licenses for a period of six months. In March 2010, the MOC issued a circular to increase the punishment for Internet cafés that allow minors to enter and use the Internet in violation of government regulations. According to this circular, among other things, the government authorities may revoke an Internet café’s Internet Culture Operation License if that Internet café allows three or more minors to enter and use the Internet at one time. Governmental authorities may from time to time impose stricter requirements, for example, limiting customer age limits and hours of operation, based on the occurrence and perception of, and the media attention on, gang violence, arson, and other incidents in or associated with Internet cafés.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So long as Internet cafés are one of the primary venues for our users to access the NetEase websites and services, especially online games, any reduction in the number, or any slowdown in the growth, of Internet cafés in China could limit our ability to maintain or increase our revenues and expand our customer base, thereby reducing our profitability and growth prospects.</w:t>
      </w:r>
    </w:p>
    <w:p>
      <w:pPr>
        <w:spacing w:after="0" w:line="177" w:lineRule="exact"/>
        <w:rPr>
          <w:sz w:val="20"/>
          <w:szCs w:val="20"/>
          <w:color w:val="auto"/>
        </w:rPr>
      </w:pPr>
    </w:p>
    <w:p>
      <w:pPr>
        <w:ind w:right="340"/>
        <w:spacing w:after="0" w:line="386" w:lineRule="auto"/>
        <w:rPr>
          <w:sz w:val="20"/>
          <w:szCs w:val="20"/>
          <w:color w:val="auto"/>
        </w:rPr>
      </w:pPr>
      <w:r>
        <w:rPr>
          <w:rFonts w:ascii="Arial" w:cs="Arial" w:eastAsia="Arial" w:hAnsi="Arial"/>
          <w:sz w:val="15"/>
          <w:szCs w:val="15"/>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9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 xml:space="preserve">As part of its anti-addiction online game policy, the Chinese government has taken several steps to discourage minors under the age of 18 from continuously playing online games once they exceed a set number of hours of continuous play. For example, in July 2005, the MOC and the MII jointly issued an opinion which requires online game operators to develop systems and software for identity certification, to implement anti-addiction modifications to game rules and to restrict players under 18 years of age from playing certain games. Subsequently, in August 2005, GAPP proposed an online game anti-addiction system that would have reduced and eliminated experience points that a user can accumulate after three and five hours of consecutive playing, respectively. In March 2006, GAPP amended its proposal to require players to register with their real names and identity card numbers and to apply the anti-addiction system only to players under 18 years of age. In April 2007, GAPP and several other government authorities jointly promulgated the </w:t>
      </w:r>
      <w:r>
        <w:rPr>
          <w:rFonts w:ascii="Arial" w:cs="Arial" w:eastAsia="Arial" w:hAnsi="Arial"/>
          <w:sz w:val="17"/>
          <w:szCs w:val="17"/>
          <w:i w:val="1"/>
          <w:iCs w:val="1"/>
          <w:color w:val="auto"/>
        </w:rPr>
        <w:t>Notice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Concerning the Protection of Minors’ Physical and Mental Well-being and Implementation of Anti-addiction System on Online Games, </w:t>
      </w:r>
      <w:r>
        <w:rPr>
          <w:rFonts w:ascii="Arial" w:cs="Arial" w:eastAsia="Arial" w:hAnsi="Arial"/>
          <w:sz w:val="17"/>
          <w:szCs w:val="17"/>
          <w:color w:val="auto"/>
        </w:rPr>
        <w:t>or the Anti-Addiction</w:t>
      </w:r>
      <w:r>
        <w:rPr>
          <w:rFonts w:ascii="Arial" w:cs="Arial" w:eastAsia="Arial" w:hAnsi="Arial"/>
          <w:sz w:val="17"/>
          <w:szCs w:val="17"/>
          <w:i w:val="1"/>
          <w:iCs w:val="1"/>
          <w:color w:val="auto"/>
        </w:rPr>
        <w:t xml:space="preserve"> </w:t>
      </w:r>
      <w:r>
        <w:rPr>
          <w:rFonts w:ascii="Arial" w:cs="Arial" w:eastAsia="Arial" w:hAnsi="Arial"/>
          <w:sz w:val="17"/>
          <w:szCs w:val="17"/>
          <w:color w:val="auto"/>
        </w:rPr>
        <w:t>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w:t>
      </w:r>
    </w:p>
    <w:p>
      <w:pPr>
        <w:spacing w:after="0" w:line="180" w:lineRule="exact"/>
        <w:rPr>
          <w:sz w:val="20"/>
          <w:szCs w:val="20"/>
          <w:color w:val="auto"/>
        </w:rPr>
      </w:pPr>
    </w:p>
    <w:p>
      <w:pPr>
        <w:ind w:right="40" w:firstLine="506"/>
        <w:spacing w:after="0" w:line="269" w:lineRule="auto"/>
        <w:rPr>
          <w:sz w:val="20"/>
          <w:szCs w:val="20"/>
          <w:color w:val="auto"/>
        </w:rPr>
      </w:pPr>
      <w:r>
        <w:rPr>
          <w:rFonts w:ascii="Arial" w:cs="Arial" w:eastAsia="Arial" w:hAnsi="Arial"/>
          <w:sz w:val="17"/>
          <w:szCs w:val="17"/>
          <w:color w:val="auto"/>
        </w:rPr>
        <w:t>In addition, on June 3, 2010, the MOC issued a decree on Interim Measures for the Administration of Online Games, or the Online Games Measures, which will be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Furthermore, in July 2010 the MOC enacted the Notice on Implementing Interim Measures for the Administration of Online Games, or the Online Games Notice, in which several provisions of the Online Games Measures are supplemented, including the required standard clauses for online games service contracts between game operators and users and the timing for the implementation of a real identity registration system. The Online Games Notice also adopts several new measures, including requirements for the domestic online games joint operation by game developers and operators. Although many of these requirements reflect previously issued government regulations with which we already comply, certain new requirements may cause us to change the way we launch and operate our online games. Because the Online Games Measures and Online Games Notice are relatively new and it is unclear how the MOC will interpret and enforce them, we are unable to fully assess what impact, if any, these new requirements may have on our business.</w:t>
      </w:r>
    </w:p>
    <w:p>
      <w:pPr>
        <w:spacing w:after="0" w:line="180" w:lineRule="exact"/>
        <w:rPr>
          <w:sz w:val="20"/>
          <w:szCs w:val="20"/>
          <w:color w:val="auto"/>
        </w:rPr>
      </w:pPr>
    </w:p>
    <w:p>
      <w:pPr>
        <w:ind w:right="240" w:firstLine="506"/>
        <w:spacing w:after="0" w:line="277" w:lineRule="auto"/>
        <w:rPr>
          <w:sz w:val="20"/>
          <w:szCs w:val="20"/>
          <w:color w:val="auto"/>
        </w:rPr>
      </w:pPr>
      <w:r>
        <w:rPr>
          <w:rFonts w:ascii="Arial" w:cs="Arial" w:eastAsia="Arial" w:hAnsi="Arial"/>
          <w:sz w:val="18"/>
          <w:szCs w:val="18"/>
          <w:color w:val="auto"/>
        </w:rPr>
        <w:t>It has been reported in the Chinese media that the Chinese government has concerns about the social impact of online games, and it may continue to impose additional regulatory restrictions on us or our customers or otherwise take actions that harm our business.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Chinese government has not enacted any laws regarding virtual asset property rights and, accordingly, it is not clear what liabilities, if any, online game providers may have for virtual assets.</w:t>
      </w:r>
    </w:p>
    <w:p>
      <w:pPr>
        <w:spacing w:after="0" w:line="166" w:lineRule="exact"/>
        <w:rPr>
          <w:sz w:val="20"/>
          <w:szCs w:val="20"/>
          <w:color w:val="auto"/>
        </w:rPr>
      </w:pPr>
    </w:p>
    <w:p>
      <w:pPr>
        <w:jc w:val="both"/>
        <w:ind w:right="120" w:firstLine="506"/>
        <w:spacing w:after="0" w:line="302" w:lineRule="auto"/>
        <w:rPr>
          <w:sz w:val="20"/>
          <w:szCs w:val="20"/>
          <w:color w:val="auto"/>
        </w:rPr>
      </w:pPr>
      <w:r>
        <w:rPr>
          <w:rFonts w:ascii="Arial" w:cs="Arial" w:eastAsia="Arial" w:hAnsi="Arial"/>
          <w:sz w:val="16"/>
          <w:szCs w:val="16"/>
          <w:color w:val="auto"/>
        </w:rPr>
        <w:t>One of the features of our MMORPGs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The Chinese government has not enacted any laws regarding virtual asset property rights. Accordingly, we have no basis to determine what are the legal rights, if</w:t>
      </w:r>
    </w:p>
    <w:p>
      <w:pPr>
        <w:sectPr>
          <w:pgSz w:w="11900" w:h="16877" w:orient="portrait"/>
          <w:cols w:equalWidth="0" w:num="1">
            <w:col w:w="11420"/>
          </w:cols>
          <w:pgMar w:left="240" w:top="125" w:right="239" w:bottom="0" w:gutter="0" w:footer="0" w:header="0"/>
        </w:sectPr>
      </w:pPr>
    </w:p>
    <w:bookmarkStart w:id="21" w:name="page22"/>
    <w:bookmarkEnd w:id="21"/>
    <w:p>
      <w:pPr>
        <w:ind w:right="280"/>
        <w:spacing w:after="0" w:line="277" w:lineRule="auto"/>
        <w:rPr>
          <w:sz w:val="20"/>
          <w:szCs w:val="20"/>
          <w:color w:val="auto"/>
        </w:rPr>
      </w:pPr>
      <w:r>
        <w:rPr>
          <w:rFonts w:ascii="Arial" w:cs="Arial" w:eastAsia="Arial" w:hAnsi="Arial"/>
          <w:sz w:val="18"/>
          <w:szCs w:val="18"/>
          <w:color w:val="auto"/>
        </w:rPr>
        <w:t>any, associated with virtual assets and what liabilities we could be exposed to for the loss or destruction of virtual assets. We could therefore potentially be held liable for the way in which we handle and protect virtual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virtual currency may adversely affect our online game revenues.</w:t>
      </w:r>
    </w:p>
    <w:p>
      <w:pPr>
        <w:spacing w:after="0" w:line="22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Our online game revenues are collected through the sale of physical and virtual prepaid point cards, as described elsewhere on this annual report, including below in the “User Fees” section in Item 4.B of this annual report.</w:t>
      </w:r>
    </w:p>
    <w:p>
      <w:pPr>
        <w:spacing w:after="0" w:line="170"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On February 15, 2007, the MOC issued the Notice on the Reinforcement of the Administration of Internet Cafés and Online Games, or the Internet Cafés Notice, which directs the PBOC to strengthen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8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June 4, 2009, the MOC and the Ministry of Commerce jointly issued the Notice on Strengthening the Administration of Online Game Virtual Currency, or the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Virtual Currency Notice categorizes companies involved with virtual currency as either issuers or trading platforms and prohibits companies from simultaneously engaging both as issuers and as trading platforms. The Virtual Currency Notice’s stated objective is to limit the circulation of virtual currency and thereby reduce concerns that it may impact real world inflation. To accomplish this, the Virtual Currency Notice requires online game operators to report the total amount of their issued virtual currencies on a quarterly basis and to refrain from issuing disproportionate amounts of virtual currencies in order to generate revenues. In addition, the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Virtual Currency Notice also requires online game operators to keep transaction data records for no less than 180 days and to not provide virtual currency trading services to minors.</w:t>
      </w:r>
    </w:p>
    <w:p>
      <w:pPr>
        <w:spacing w:after="0" w:line="169" w:lineRule="exact"/>
        <w:rPr>
          <w:sz w:val="20"/>
          <w:szCs w:val="20"/>
          <w:color w:val="auto"/>
        </w:rPr>
      </w:pPr>
    </w:p>
    <w:p>
      <w:pPr>
        <w:ind w:right="180" w:firstLine="510"/>
        <w:spacing w:after="0" w:line="264" w:lineRule="auto"/>
        <w:rPr>
          <w:sz w:val="20"/>
          <w:szCs w:val="20"/>
          <w:color w:val="auto"/>
        </w:rPr>
      </w:pPr>
      <w:r>
        <w:rPr>
          <w:rFonts w:ascii="Arial" w:cs="Arial" w:eastAsia="Arial" w:hAnsi="Arial"/>
          <w:sz w:val="18"/>
          <w:szCs w:val="18"/>
          <w:color w:val="auto"/>
        </w:rPr>
        <w:t>In order to comply with the requirements of the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financial transactions may adversely affect the operation and profitability of our business.</w:t>
      </w:r>
    </w:p>
    <w:p>
      <w:pPr>
        <w:spacing w:after="0" w:line="229" w:lineRule="exact"/>
        <w:rPr>
          <w:sz w:val="20"/>
          <w:szCs w:val="20"/>
          <w:color w:val="auto"/>
        </w:rPr>
      </w:pPr>
    </w:p>
    <w:p>
      <w:pPr>
        <w:ind w:firstLine="504"/>
        <w:spacing w:after="0" w:line="270" w:lineRule="auto"/>
        <w:rPr>
          <w:sz w:val="20"/>
          <w:szCs w:val="20"/>
          <w:color w:val="auto"/>
        </w:rPr>
      </w:pPr>
      <w:r>
        <w:rPr>
          <w:rFonts w:ascii="Arial" w:cs="Arial" w:eastAsia="Arial" w:hAnsi="Arial"/>
          <w:sz w:val="17"/>
          <w:szCs w:val="17"/>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required registration with the PBOC. In addition, on June 14, 2010, the PBOC issued the Measures for the Administration of Non-financial Institutions Engaging in Payment and Settlement Services, or the PBOC Measures, which were effective as of September 1, 2010 and require that non-financial institutions engaging in the business of effecting payments and settlements before June 14, 2010 obtain a permit from the PBOC by August 31, 2011 to continue such business. On December 1, 2010, the PBOC issued Detailed Rules for the Implementation of the Administrative Measures for the Payment Services Provided by Non-financial Institutions, which provide, among other things, further explanation for the qualifications of applicants and more detailed description for the application materials.</w:t>
      </w:r>
    </w:p>
    <w:p>
      <w:pPr>
        <w:spacing w:after="0" w:line="182" w:lineRule="exact"/>
        <w:rPr>
          <w:sz w:val="20"/>
          <w:szCs w:val="20"/>
          <w:color w:val="auto"/>
        </w:rPr>
      </w:pPr>
    </w:p>
    <w:p>
      <w:pPr>
        <w:ind w:right="240" w:firstLine="510"/>
        <w:spacing w:after="0" w:line="302" w:lineRule="auto"/>
        <w:rPr>
          <w:sz w:val="20"/>
          <w:szCs w:val="20"/>
          <w:color w:val="auto"/>
        </w:rPr>
      </w:pPr>
      <w:r>
        <w:rPr>
          <w:rFonts w:ascii="Arial" w:cs="Arial" w:eastAsia="Arial" w:hAnsi="Arial"/>
          <w:sz w:val="16"/>
          <w:szCs w:val="16"/>
          <w:color w:val="auto"/>
        </w:rPr>
        <w:t>We currently operate an online payment platform used by both distributors of our prepaid point cards and end users of our online services, which requires a permit under the PBOC Measures. We have obtained such permit from the PBOC. However, as the PBOC Measures are quite new, we cannot be certain how they will be interpreted and enforced by the PBOC and whether we will be able to maintain or renew such permit in the future. An inability to continue operating our current online payment platform would likely materially and adversely affect the operation and profitability of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successfully against new entrants and established industry competitors.</w:t>
      </w:r>
    </w:p>
    <w:p>
      <w:pPr>
        <w:spacing w:after="0" w:line="229"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The Chinese market for Internet content and services is intensely competitive and rapidly changing. Many companies offer competitive products or services including online games, Chinese language-based web search, retrieval and navigation services, e-commerce services and extensive Chinese language content, informational and community features, and e-mail.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Currently, our competition comes from Chinese language-based Internet portal companies as well as US-based portal companies. Some of our current and potential competitors are much larger than we are, and currently offer, and could further develop or acquire, content and services that compete with the NetEase websites. We also face competition from online game developers and operators, Internet service providers, e-commerce service providers, website operators and providers of web browser software that incorporate search and retrieval features. With respect to online games, we believe that more competitors are entering this market in China and that our competitors are becoming more active in both licensing foreign-developed games and developing games in-house, which trends, if they continue, could adversely affect our online game revenues in the future. We believe that competition in the online advertising industry in China is intense with numerous competitors such as Baidu, Sina, Sohu, Tencent, Alibaba, Qihoo, iFeng.com, Youku and other vertical Internet portals. Any of our present or future competitors may offer products and services that provide significant performance, price, creativity or other advantages over those offered by us and, therefore, achieve greater market acceptance than ours.</w:t>
      </w:r>
    </w:p>
    <w:p>
      <w:pPr>
        <w:sectPr>
          <w:pgSz w:w="11900" w:h="16838" w:orient="portrait"/>
          <w:cols w:equalWidth="0" w:num="1">
            <w:col w:w="11420"/>
          </w:cols>
          <w:pgMar w:left="240" w:top="125" w:right="239" w:bottom="0" w:gutter="0" w:footer="0" w:header="0"/>
        </w:sectPr>
      </w:pPr>
    </w:p>
    <w:bookmarkStart w:id="22" w:name="page23"/>
    <w:bookmarkEnd w:id="22"/>
    <w:p>
      <w:pPr>
        <w:ind w:right="100" w:firstLine="510"/>
        <w:spacing w:after="0" w:line="257" w:lineRule="auto"/>
        <w:rPr>
          <w:sz w:val="20"/>
          <w:szCs w:val="20"/>
          <w:color w:val="auto"/>
        </w:rPr>
      </w:pPr>
      <w:r>
        <w:rPr>
          <w:rFonts w:ascii="Arial" w:cs="Arial" w:eastAsia="Arial" w:hAnsi="Arial"/>
          <w:sz w:val="18"/>
          <w:szCs w:val="18"/>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Any increased competition could reduce page views, make it difficult for us to attract and retain users, reduce or eliminate our market share, lower our profit margins and reduce our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e-commerce platforms and to provide online shopping mall and other e-commerce services in China. In 2001, we also began focusing on fee-based premium services and online entertainment services, including online games, wireless value-added services, premium e-mail services and other subscription-type services. We developed our own proprietary Internet search engine, Youdao, which was launched in December 2007 and is free of charge to users.</w:t>
      </w:r>
    </w:p>
    <w:p>
      <w:pPr>
        <w:spacing w:after="0" w:line="165" w:lineRule="exact"/>
        <w:rPr>
          <w:sz w:val="20"/>
          <w:szCs w:val="20"/>
          <w:color w:val="auto"/>
        </w:rPr>
      </w:pPr>
    </w:p>
    <w:p>
      <w:pPr>
        <w:ind w:firstLine="504"/>
        <w:spacing w:after="0" w:line="255" w:lineRule="auto"/>
        <w:rPr>
          <w:sz w:val="20"/>
          <w:szCs w:val="20"/>
          <w:color w:val="auto"/>
        </w:rPr>
      </w:pPr>
      <w:r>
        <w:rPr>
          <w:rFonts w:ascii="Arial" w:cs="Arial" w:eastAsia="Arial" w:hAnsi="Arial"/>
          <w:sz w:val="18"/>
          <w:szCs w:val="18"/>
          <w:color w:val="auto"/>
        </w:rPr>
        <w:t>NetEase.com, Inc. was incorporated in the Cayman Islands on July 6, 1999, and it operates under the Cayman Islands Companies Law (2013 Revision). We changed our name from “NetEase.com, Inc.” to “NetEase, Inc.” with effect from March 29, 2012 after its approval at our extraordinary general meeting of shareholders held on the same day. We believe that the change of name would more accurately reflect our business operations which encompass an increasingly diversified range of entertainment, community, e-commerce and other services. Our principal executive offices are located at 26/F, SP Tower D, Tsinghua Science Park Building 8, No.1 Zhongguancun East Road, Haidian District, Beijing, People’s Republic of China 100084. Our telephone number is (86-10) 8255-8163.</w:t>
      </w:r>
    </w:p>
    <w:p>
      <w:pPr>
        <w:spacing w:after="0" w:line="193" w:lineRule="exact"/>
        <w:rPr>
          <w:sz w:val="20"/>
          <w:szCs w:val="20"/>
          <w:color w:val="auto"/>
        </w:rPr>
      </w:pPr>
    </w:p>
    <w:p>
      <w:pPr>
        <w:ind w:right="20" w:firstLine="576"/>
        <w:spacing w:after="0" w:line="254" w:lineRule="auto"/>
        <w:rPr>
          <w:sz w:val="20"/>
          <w:szCs w:val="20"/>
          <w:color w:val="auto"/>
        </w:rPr>
      </w:pPr>
      <w:r>
        <w:rPr>
          <w:rFonts w:ascii="Arial" w:cs="Arial" w:eastAsia="Arial" w:hAnsi="Arial"/>
          <w:sz w:val="18"/>
          <w:szCs w:val="18"/>
          <w:color w:val="auto"/>
        </w:rPr>
        <w:t>Our principal capital expenditures for 2014 consisted mainly of cost incurred for the construction of our new office buildings in Beijing, Guangzhou, Hangzhou and Zhoushan in China, acquisition of new servers in connection with the operation of our self-developed and licensed games, and investment in the expansion and upgrade of our mailbox infrastructure for a total of approximately RMB537.4 million (US$86.6 million). Our principal capital expenditures for 2013 consisted mainly of acquisition of new servers in connection with the operation of our self-developed games, investment in the expansion and upgrade of our mailbox infrastructure, and cost incurred for the construction of our new office building in Beijing, China, for a total of approximately RMB218.9 million. Our principal capital expenditures for 2012 consisted mainly of acquisition of new servers in connection with the operation of our self-developed games, investment in the expansion and upgrade of our mailbox infrastructure, and cost incurred for office renovations, furniture and fixtures, for a total of approximately RMB178.7 million.</w:t>
      </w:r>
    </w:p>
    <w:p>
      <w:pPr>
        <w:spacing w:after="0" w:line="19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during the respective terms of the licenses, Shanghai EaseNet as licensee of the games is required to pay royalties and consultancy fees to Blizzard for the games, have a minimum marketing expenditure commitment, and provide funds for hardware to operate the games. For further details, see Item 4.B. “Business Overview — Our Services — Game Licensing and Joint Venture with Blizzard.” As of December 31, 2014, we had capital expenditure commitments of RMB230.0 million (US$37.1 million) for 2015 onwards, which primarily consist of commitments made in connection with the construction of new office buildings in Beijing and Guangzhou. Our capital expenditures in 2014 have been, and are expected to continue to be, funded by operating cash flows and our existing capital resources.</w:t>
      </w:r>
    </w:p>
    <w:p>
      <w:pPr>
        <w:spacing w:after="0" w:line="18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500" w:firstLine="510"/>
        <w:spacing w:after="0" w:line="286" w:lineRule="auto"/>
        <w:rPr>
          <w:sz w:val="20"/>
          <w:szCs w:val="20"/>
          <w:color w:val="auto"/>
        </w:rPr>
      </w:pPr>
      <w:r>
        <w:rPr>
          <w:rFonts w:ascii="Arial" w:cs="Arial" w:eastAsia="Arial" w:hAnsi="Arial"/>
          <w:sz w:val="17"/>
          <w:szCs w:val="17"/>
          <w:color w:val="auto"/>
        </w:rPr>
        <w:t>Through our subsidiaries and contracts with our affiliates Guangzhou NetEase, Guangyitong Advertising, Shanghai EaseNet and certain other affiliated companies and their respective shareholders, we operate a leading interactive online community in China and are a major provider of Chinese language content and services through our online games, Internet portal, e-mail, e-commerce and other businesses.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We generate revenues from fees we charge users of our online games, from selling advertisements on the NetEase websites, and from e-mail, e-commerce and other services. Our basic service offerings on the NetEase websites are available without charge to our users.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ability to leverage our portal traffic to generate revenues in online gaming and advertising services is a key component of our growth strategy.</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Online Games Services</w:t>
      </w:r>
    </w:p>
    <w:p>
      <w:pPr>
        <w:spacing w:after="0" w:line="22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Our online games business primarily focuses on offering massively multi-player online role-playing games (commonly known as “MMORPGs”), as well as mobile games to the Chinese market.</w:t>
      </w:r>
    </w:p>
    <w:p>
      <w:pPr>
        <w:spacing w:after="0" w:line="170"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MMORPGs are played over the Internet in “virtual worlds” that exist on networked game servers to which thousands of players simultaneously connect to interact with each other. We develop and operate MMORPGs that are targeted at or localized to the Chinese market, and we strive to provide the highest quality game playing experience to our users. In addition, starting in August 2008, Blizzard agreed to license certain online games to Shanghai EaseNet for operation in the PRC, as discussed below under “Our Services — Game Licensing and Joint Venture with Blizzard”.</w:t>
      </w:r>
    </w:p>
    <w:p>
      <w:pPr>
        <w:spacing w:after="0" w:line="17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use two revenue models for such games: a time-based model, in which players pay for game playing time, and an item-based model, in which players can play the basic features of the game for free and can purchase virtual items that enhance their playing experience. A majority of our revenues come from our in-house games that use the time-based model, like New Westward Journey Online II and Fantasy Westward Journey II, and from World of Warcraft and StarCraft II: Wings of Liberty, which also use the time-based model. We also operate more than 14 item-based MMORPG games, such as Tianxia III, a comprehensive upgrade of Tianxia II, Ghost II, Heroes of Tang Dynasty Zero, and an item-based version of New Westward Journey Online II. We plan to launch other new games using the item-based revenue model in the future.</w:t>
      </w:r>
    </w:p>
    <w:p>
      <w:pPr>
        <w:sectPr>
          <w:pgSz w:w="11900" w:h="16838" w:orient="portrait"/>
          <w:cols w:equalWidth="0" w:num="1">
            <w:col w:w="11420"/>
          </w:cols>
          <w:pgMar w:left="240" w:top="125" w:right="239" w:bottom="0" w:gutter="0" w:footer="0" w:header="0"/>
        </w:sectPr>
      </w:pPr>
    </w:p>
    <w:bookmarkStart w:id="23" w:name="page24"/>
    <w:bookmarkEnd w:id="23"/>
    <w:p>
      <w:pPr>
        <w:ind w:right="40" w:firstLine="504"/>
        <w:spacing w:after="0" w:line="276" w:lineRule="auto"/>
        <w:rPr>
          <w:sz w:val="20"/>
          <w:szCs w:val="20"/>
          <w:color w:val="auto"/>
        </w:rPr>
      </w:pPr>
      <w:r>
        <w:rPr>
          <w:rFonts w:ascii="Arial" w:cs="Arial" w:eastAsia="Arial" w:hAnsi="Arial"/>
          <w:sz w:val="17"/>
          <w:szCs w:val="17"/>
          <w:color w:val="auto"/>
        </w:rPr>
        <w:t>To pay for MMORPG playing time or virtual items purchased within a game, players use our proprietary prepaid point system by purchasing physical prepaid point cards or virtual prepaid point cards. We work with a wide range of distributors to distribute our point cards to gamers across China. Physical prepaid point card distribution channels include wholesalers, Internet cafés, software stores, supermarkets, bookstores and newspaper stands, as well as convenience stores mainly in Guangzhou Province, Shanghai, Beijing and in several second tier cities. Virtual prepaid point cards can be purchased online by debit card, credit card or bank transfer using our Wangyibao online payment platform.</w:t>
      </w:r>
    </w:p>
    <w:p>
      <w:pPr>
        <w:spacing w:after="0" w:line="17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As of December 31, 2014, we also offered 12 mobile games of various genres, such as Mini Westward Journey, Stay Calm! My Lord!, Battle to the West, The World HD, Dark Blade, World Soccer Collections and Ninja Must Die 2. We distribute our mobile games by partnering with major Android- and iOS-based app stores in China as well as through our proprietary distribution channels, such as our website and NetEase News App. Mobile game revenues are primarily derived from sales of in-game virtual items, including items, avatars, skills, privileges or other in-game consumables, features or functionalities, within our games. Users have a variety of payment options for our in-game virtual items, including our prepaid cards, online payments through app stores and other online payment channels.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Portal</w:t>
      </w:r>
    </w:p>
    <w:p>
      <w:pPr>
        <w:spacing w:after="0" w:line="2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NetEase websites provide Internet users with Chinese language online services centered around three core service categories—content, community and communication. Our wide range of content appeals to a broad audience group spanning all age groups. However, our services are particularly popular among younger audiences between the ages of 23 and 35. We are continually working to reinforce our leadership position through premium content and service development and innovation. In particular, China’s Internet sector is quickly transitioning from PC to mobile platforms. We believe there are significant opportunities to explore new revenue streams related to the mobile Internet market. We have been proactively migrating our PC products onto mobile across our different business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w:t>
      </w:r>
    </w:p>
    <w:p>
      <w:pPr>
        <w:spacing w:after="0" w:line="225"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The NetEase content channels provide news, information and online entertainment to the Chinese public. The websites consolidate and distribute content from more than one hundred international and domestic content providers. Content is distributed through various channels, including channels focusing on news, entertainment, sports, finance, information technology, automobiles, education and real estate.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Communication</w:t>
      </w:r>
    </w:p>
    <w:p>
      <w:pPr>
        <w:spacing w:after="0" w:line="225"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The NetEase websites provide a broad array of free and fee-based community and communication services, including photo album, instant messaging, online personal advertisements, open courses (NetEase Open Courses), mobile news applications (NetEase News App), online video (NetEase BoBo) and community forums.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80" w:firstLine="510"/>
        <w:spacing w:after="0" w:line="264" w:lineRule="auto"/>
        <w:rPr>
          <w:sz w:val="20"/>
          <w:szCs w:val="20"/>
          <w:color w:val="auto"/>
        </w:rPr>
      </w:pPr>
      <w:r>
        <w:rPr>
          <w:rFonts w:ascii="Arial" w:cs="Arial" w:eastAsia="Arial" w:hAnsi="Arial"/>
          <w:sz w:val="18"/>
          <w:szCs w:val="18"/>
          <w:color w:val="auto"/>
        </w:rPr>
        <w:t>In addition to the services described above, the NetEase websites provide other services to our users, including various search functions, dictionary (Youdao Dictionary) and cloud note-taking application (Youdao Cloudnote). These products are powered by our own proprietary Internet search engine, Youdao, which was developed by us and launched in December 2007 and is free of charge to users.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Services</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large and growing user base attracts well-known advertisers to our web sites. The various content channels and wide range of online services offered through our Internet portal forms an effective medium for our clients to conduct integrated marketing campaigns to the millions of loyal NetEase users. Our online advertising offerings include banner advertising, channel sponsorships, direct e-mail, interactive media-rich sites, sponsored special events, games, contests and other activities. We mainly charge advertisers on a per diem fixed fees basis, and we also adopted a Cost Per Impression, or CPM, pricing model for certain of our advertisers at their request. Our standard advertising charges vary depending on the terms of the contract and the advertisement’s location within our website. Discounts from standard rates are typically provided for higher-volume, longer-term advertising contracts, and may be provided for promotional purposes.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E-mail, E-commerce and Others</w:t>
      </w:r>
    </w:p>
    <w:p>
      <w:pPr>
        <w:spacing w:after="0" w:line="229" w:lineRule="exact"/>
        <w:rPr>
          <w:sz w:val="20"/>
          <w:szCs w:val="20"/>
          <w:color w:val="auto"/>
        </w:rPr>
      </w:pPr>
    </w:p>
    <w:p>
      <w:pPr>
        <w:ind w:right="100" w:firstLine="510"/>
        <w:spacing w:after="0" w:line="284" w:lineRule="auto"/>
        <w:rPr>
          <w:sz w:val="20"/>
          <w:szCs w:val="20"/>
          <w:color w:val="auto"/>
        </w:rPr>
      </w:pPr>
      <w:r>
        <w:rPr>
          <w:rFonts w:ascii="Arial" w:cs="Arial" w:eastAsia="Arial" w:hAnsi="Arial"/>
          <w:sz w:val="16"/>
          <w:szCs w:val="16"/>
          <w:color w:val="auto"/>
        </w:rPr>
        <w:t>As one of the largest e-mail services provider in China, we offer free and fee-based premium e-mail services to our individual users and corporate users. We also offer a wide range of e-commerce services, which primarily include Caipiao, an online service that facilitates the processing of end users’ purchase orders for lotteries operated by third party vendors, and Baoxian, an online service that facilitates the sale of insurance products from third-party insurers. Our other e-commerce services include Wangyibao, our online payment platform, EaseRead, our e-reading apps, Huatian, our matchmaking services, Cloud Music, our online music social network, Yinxiangpai, our personalized photo-based products, and the sale of game-related accessories to our users. For additional information, see Item 3.D. “Risk Factors—Risks Related to the Telecommunications and Internet Industries in China—We may</w:t>
      </w:r>
    </w:p>
    <w:p>
      <w:pPr>
        <w:spacing w:after="0" w:line="5"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be required under recently issued rules and regulations or by relevant government authorities to obtain governmental authorizations and approvals for providing e-commerce services related to third-party lottery products, which, if unattainable, may adversely affect our e-commerce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with China Telecom Corporation Limited, or China Telecom</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August 2013, we established a joint venture with China Telecom in which we hold a minority ownership stake. The joint venture operates “YiChat”, a proprietary social instant messaging application for smart phones. YiChat differentiates itself from other social instant messaging applications through the integration of various unique technologies. Among its specially developed and distinctive features, YiChat offers proprietary environmental noise reduction technology, high-quality photo messaging and various original stickers and emoticon designs. Our strategic joint venture with China Telecom aims to provide a superior social instant messaging application for smart phone users. This partnership signaled the start of our entry into the mobile instant messaging space and is a key component of our mobile Internet 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ectPr>
          <w:pgSz w:w="11900" w:h="16838" w:orient="portrait"/>
          <w:cols w:equalWidth="0" w:num="1">
            <w:col w:w="11400"/>
          </w:cols>
          <w:pgMar w:left="240" w:top="125" w:right="259" w:bottom="0" w:gutter="0" w:footer="0" w:header="0"/>
        </w:sectPr>
      </w:pPr>
    </w:p>
    <w:bookmarkStart w:id="24" w:name="page25"/>
    <w:bookmarkEnd w:id="24"/>
    <w:p>
      <w:pPr>
        <w:ind w:firstLine="510"/>
        <w:spacing w:after="0" w:line="287" w:lineRule="auto"/>
        <w:rPr>
          <w:sz w:val="20"/>
          <w:szCs w:val="20"/>
          <w:color w:val="auto"/>
        </w:rPr>
      </w:pPr>
      <w:r>
        <w:rPr>
          <w:rFonts w:ascii="Arial" w:cs="Arial" w:eastAsia="Arial" w:hAnsi="Arial"/>
          <w:sz w:val="16"/>
          <w:szCs w:val="16"/>
          <w:color w:val="auto"/>
        </w:rPr>
        <w:t>We conduct our business in China solely through our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e-mail, e-commerce and other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Guangyitong Advertising, which is a majority-owned subsidiary of Guangzhou NetEase, as well as certain other affiliated entities. Under the contracts, we provide our Internet, e-mail and e-commerce applications, services and technologies and advertising services to Guangzhou NetEase, Guangyitong Advertising and certain other affiliated entities and they operate the NetEase online games, websites, the online advertising business as well the e-mail and e-commerce business. Guangzhou NetEase has another majority-owned subsidiary, Youdao Computer, a search-related business operator, and a wholly-owned subsidiary, Wangyibao, the operator of our Wangyibao online payment platform. For more information on these agreements, see Item 7.B. “Major Shareholders and Related Party Transactions—Related Party Transactions.”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Guangzhou NetEase is 99.0% beneficially owned by our founder, Chief Executive Officer and major shareholder, William Lei Ding, and 1.0% owned by Xiaojun Hui, our vice president of game development. Guangyitong Advertising is 80.0% owned by Guangzhou NetEase and 20.0% owned by William Lei Ding. Youdao Computer is 71.1% owned by Guangzhou NetEase and 28.9% owned by individuals who are employees of Youdao Computer. Wangyibao is 100.0% owned by Guangzhou NetEase. Hangzhou NetEase Leihuo Network Co., Ltd. (previously named Hangzhou Leihuo Network Co., Ltd.), or Hangzhou Leihuo, is owned by two of our employees and has operated our mobile games business since 2014. We do not have any direct ownership interest in those companies.</w:t>
      </w:r>
    </w:p>
    <w:p>
      <w:pPr>
        <w:spacing w:after="0" w:line="19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Under our agreements with Guangzhou NetEase, we have agreed to pay its operating costs. Under our agreements with Guangyitong Advertising and Hangzhou Leihuo, we have agreed to provide performance guarantees and guarantee loans for working capital purposes to the extent required by Guangyitong Advertising or Hangzhou Leihuo for their operations. Guangzhou NetEase, Guangyitong Advertising and Hangzhou Leihuo are each prohibited from incurring any debt without our prior approval.</w:t>
      </w:r>
    </w:p>
    <w:p>
      <w:pPr>
        <w:spacing w:after="0" w:line="187"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Starting in August 2008, Blizzard agreed to license certain online games to Shanghai EaseNet for operation in the PRC. Shanghai EaseNet is a PRC company owned by William Lei Ding, our Chief Executive Officer, director and major shareholder and has contractual arrangements with the joint venture established between, and owned equally by, Blizzard and us, and with us. The joint venture was established concurrently with the licensing of games from Blizzard in August 2008 and provides technical services to Shanghai EaseNet.</w:t>
      </w:r>
    </w:p>
    <w:p>
      <w:pPr>
        <w:spacing w:after="0" w:line="187" w:lineRule="exact"/>
        <w:rPr>
          <w:sz w:val="20"/>
          <w:szCs w:val="20"/>
          <w:color w:val="auto"/>
        </w:rPr>
      </w:pPr>
    </w:p>
    <w:p>
      <w:pPr>
        <w:jc w:val="both"/>
        <w:ind w:right="240" w:firstLine="510"/>
        <w:spacing w:after="0" w:line="312" w:lineRule="auto"/>
        <w:rPr>
          <w:sz w:val="20"/>
          <w:szCs w:val="20"/>
          <w:color w:val="auto"/>
        </w:rPr>
      </w:pPr>
      <w:r>
        <w:rPr>
          <w:rFonts w:ascii="Arial" w:cs="Arial" w:eastAsia="Arial" w:hAnsi="Arial"/>
          <w:sz w:val="16"/>
          <w:szCs w:val="16"/>
          <w:color w:val="auto"/>
        </w:rPr>
        <w:t>As a result of our contractual arrangements with these companies, we bear the risks of, and enjoy the rewards associated with, and therefore are the primary beneficiary of our investments in them. They are therefore considered our variable interest entities, and we consolidate the results of operations of these VIEs and their subsidiaries in our historical consolidated financial statements. See also Item 5 “Operating and Financial Review and Prospects.”</w:t>
      </w:r>
    </w:p>
    <w:p>
      <w:pPr>
        <w:spacing w:after="0" w:line="147" w:lineRule="exact"/>
        <w:rPr>
          <w:sz w:val="20"/>
          <w:szCs w:val="20"/>
          <w:color w:val="auto"/>
        </w:rPr>
      </w:pPr>
    </w:p>
    <w:p>
      <w:pPr>
        <w:ind w:right="120" w:firstLine="510"/>
        <w:spacing w:after="0" w:line="264" w:lineRule="auto"/>
        <w:rPr>
          <w:sz w:val="20"/>
          <w:szCs w:val="20"/>
          <w:color w:val="auto"/>
        </w:rPr>
      </w:pPr>
      <w:r>
        <w:rPr>
          <w:rFonts w:ascii="Arial" w:cs="Arial" w:eastAsia="Arial" w:hAnsi="Arial"/>
          <w:sz w:val="18"/>
          <w:szCs w:val="18"/>
          <w:color w:val="auto"/>
        </w:rPr>
        <w:t>Any violations by Guangzhou NetEase or Guangyitong Advertising or any other VIEs of our agreements with them could disrupt our operations, degrade our services or shut down our services. See Item 3.D. “Risk Factors” for a detailed discussion of the risks to NetEase, Inc. regarding its dependency on these companies.</w:t>
      </w:r>
    </w:p>
    <w:p>
      <w:pPr>
        <w:spacing w:after="0" w:line="181" w:lineRule="exact"/>
        <w:rPr>
          <w:sz w:val="20"/>
          <w:szCs w:val="20"/>
          <w:color w:val="auto"/>
        </w:rPr>
      </w:pPr>
    </w:p>
    <w:p>
      <w:pPr>
        <w:jc w:val="both"/>
        <w:ind w:right="240" w:firstLine="510"/>
        <w:spacing w:after="0" w:line="264" w:lineRule="auto"/>
        <w:rPr>
          <w:sz w:val="20"/>
          <w:szCs w:val="20"/>
          <w:color w:val="auto"/>
        </w:rPr>
      </w:pPr>
      <w:r>
        <w:rPr>
          <w:rFonts w:ascii="Arial" w:cs="Arial" w:eastAsia="Arial" w:hAnsi="Arial"/>
          <w:sz w:val="18"/>
          <w:szCs w:val="18"/>
          <w:color w:val="auto"/>
        </w:rPr>
        <w:t>Lede Inc. (previously named Ujia.com, Inc.), Lede (Hong Kong) Limited (previously named Ujia (Hong Kong) Limited), or Lede Hong Kong, and Lede Technology, were established by us in the second half of 2011. Lede Technology now operates our e-commerce business related to third-party lottery and insurance products.</w:t>
      </w:r>
    </w:p>
    <w:p>
      <w:pPr>
        <w:spacing w:after="0" w:line="18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February 2013, we completed the merger of Guangzhou NetEase Interactive Entertainment Co., Ltd., or Guangzhou Interactive, and Guangzhou NetEase Information Technology Co., Ltd., or Guangzhou Information, into Boguan, with Boguan as the surviving entity.</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diagram shows the group structure of our principal subsidiaries and affiliated companies, other than our joint venture arrangements with Blizzard, which are described separately in this section.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341" w:right="2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65850" cy="3953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Massively Multi-player Online Role-Playing Games</w:t>
      </w:r>
    </w:p>
    <w:p>
      <w:pPr>
        <w:spacing w:after="0" w:line="225"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launched our first MMORPG, Westward Journey Online, in December 2001 and began charging users for playing time beginning in January 2002. Subsequently, we launched Westward Journey Online II in August 2002 and our second internally developed MMORPG, Fantasy Westward Journey, in January 2004. Westward Journey Online II and Fantasy Westward Journey were upgraded to New Westward Journey Online II and Fantasy Westward Journey II in 2013. We subsequently have launched a number of additional online games, as set forth in the table below.</w:t>
      </w:r>
    </w:p>
    <w:p>
      <w:pPr>
        <w:spacing w:after="0" w:line="171"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In 2014, we launched new expansion packs for several of our existing games, as set forth in the table below. We also launched an item-based version of New Westward Journey Online II and comprehensive upgrades for Heroes of Tang Dynasty II and Kung Fu Master, namely Heroes of Tang Dynasty Zero and Kung Fu Master II, respectively. Our principal internally developed games, in terms of the number of users and revenue generated, are Fantasy Westward Journey II, New Westward Journey Online II, Ghost II, Tianxia III and Heroes of Tang Dynasty Zero. These games are MMORPGs set in classical Chinese-themed fantasy worlds. The following table sets forth these and certain of our other major MMORPG games.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Revenue</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Date of Initial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Date of Issue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Game</w:t>
            </w:r>
          </w:p>
        </w:tc>
        <w:tc>
          <w:tcPr>
            <w:tcW w:w="2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Genre</w:t>
            </w: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Commercial</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Latest Expansion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Model</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Launch</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Pack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New Fly for Fun</w:t>
            </w:r>
          </w:p>
        </w:tc>
        <w:tc>
          <w:tcPr>
            <w:tcW w:w="3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3D MMORPG, cartoon-style</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flying theme</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Item-Based</w:t>
            </w: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October 2008</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Tianxia III</w:t>
            </w:r>
          </w:p>
        </w:tc>
        <w:tc>
          <w:tcPr>
            <w:tcW w:w="25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3D MMORPG, classical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Item-Based</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October 2011</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Ghost II (a comprehensive upgrade of Ghost)</w:t>
            </w:r>
          </w:p>
        </w:tc>
        <w:tc>
          <w:tcPr>
            <w:tcW w:w="25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3"/>
              </w:rPr>
              <w:t>2.5D MMORPG, classical</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Item-Based</w:t>
            </w: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6"/>
              </w:rPr>
              <w:t>April 2013</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New Westward Journey Online III (a</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w w:val="99"/>
              </w:rPr>
              <w:t>comprehensive upgrade of Westward Journey</w:t>
            </w: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2D MMORPG, classical</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Online III)</w:t>
            </w: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Time-Based</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May 2013</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Fantasy Westward Journey II (a comprehensive</w:t>
            </w:r>
          </w:p>
        </w:tc>
        <w:tc>
          <w:tcPr>
            <w:tcW w:w="25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4"/>
              </w:rPr>
              <w:t>2D MMORPG, classical</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upgrade of Fantasy Westward Journey)</w:t>
            </w:r>
          </w:p>
        </w:tc>
        <w:tc>
          <w:tcPr>
            <w:tcW w:w="2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Time-Based</w:t>
            </w: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July 2013</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New Westward Journey Online II (a</w:t>
            </w: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w w:val="99"/>
              </w:rPr>
              <w:t>comprehensive upgrade of Westward Journey</w:t>
            </w: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2D MMORPG, classical</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Time-Based Item-</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2013</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Online II)</w:t>
            </w: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Based</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August 2014</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Heroes of Tang Dynasty Zero (a comprehensive</w:t>
            </w:r>
          </w:p>
        </w:tc>
        <w:tc>
          <w:tcPr>
            <w:tcW w:w="25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3"/>
              </w:rPr>
              <w:t>2.5D MMORPG, classical</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upgrade of Heroes of Tang Dynasty II)</w:t>
            </w:r>
          </w:p>
        </w:tc>
        <w:tc>
          <w:tcPr>
            <w:tcW w:w="2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Item-Based</w:t>
            </w: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August 2014</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w w:val="99"/>
              </w:rPr>
              <w:t>Kung Fu Master II (a comprehensive upgrade of</w:t>
            </w:r>
          </w:p>
        </w:tc>
        <w:tc>
          <w:tcPr>
            <w:tcW w:w="25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3"/>
              </w:rPr>
              <w:t>2.5D MMORPG, classical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Kung Fu Master)</w:t>
            </w: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Chinese setting</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Item-Based</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October 2014</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510"/>
        <w:spacing w:after="0" w:line="312" w:lineRule="auto"/>
        <w:rPr>
          <w:sz w:val="20"/>
          <w:szCs w:val="20"/>
          <w:color w:val="auto"/>
        </w:rPr>
      </w:pPr>
      <w:r>
        <w:rPr>
          <w:rFonts w:ascii="Arial" w:cs="Arial" w:eastAsia="Arial" w:hAnsi="Arial"/>
          <w:sz w:val="16"/>
          <w:szCs w:val="16"/>
          <w:color w:val="auto"/>
        </w:rPr>
        <w:t>Our MMORPG titles can be accessed from any location with an Internet connection by registered users of the NetEase websites. Users may enter our network with a password and a user ID after downloading our installation software. Players of these games select a specific character to begin play. Over the course of play, these characters build up experience and enhanced game capabilities, wealth, weapons and other possessions, all of which may be carried over</w:t>
      </w:r>
    </w:p>
    <w:p>
      <w:pPr>
        <w:sectPr>
          <w:pgSz w:w="11900" w:h="16871" w:orient="portrait"/>
          <w:cols w:equalWidth="0" w:num="1">
            <w:col w:w="11460"/>
          </w:cols>
          <w:pgMar w:left="240" w:top="1440" w:right="199" w:bottom="0" w:gutter="0" w:footer="0" w:header="0"/>
        </w:sectPr>
      </w:pPr>
    </w:p>
    <w:bookmarkStart w:id="26" w:name="page27"/>
    <w:bookmarkEnd w:id="26"/>
    <w:p>
      <w:pPr>
        <w:spacing w:after="0" w:line="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into subsequent gaming sessions. In our item-based games, players can also purchase virtual items that enhance their playing experience such as special powers, costumes, weapons and other accessories. We regularly introduce new virtual items or change the features of virtual items based on player feedback, market trends and other factors.</w:t>
      </w:r>
    </w:p>
    <w:p>
      <w:pPr>
        <w:spacing w:after="0" w:line="181" w:lineRule="exact"/>
        <w:rPr>
          <w:sz w:val="20"/>
          <w:szCs w:val="20"/>
          <w:color w:val="auto"/>
        </w:rPr>
      </w:pPr>
    </w:p>
    <w:p>
      <w:pPr>
        <w:ind w:right="20" w:firstLine="510"/>
        <w:spacing w:after="0" w:line="312" w:lineRule="auto"/>
        <w:rPr>
          <w:sz w:val="20"/>
          <w:szCs w:val="20"/>
          <w:color w:val="auto"/>
        </w:rPr>
      </w:pPr>
      <w:r>
        <w:rPr>
          <w:rFonts w:ascii="Arial" w:cs="Arial" w:eastAsia="Arial" w:hAnsi="Arial"/>
          <w:sz w:val="16"/>
          <w:szCs w:val="16"/>
          <w:color w:val="auto"/>
        </w:rPr>
        <w:t>Players develop their characters according to choices they make within the construct of the game. Players also interact with computer operated characters as well as with other players that are playing on the same network server. Players are able to communicate with each other during the game through instant messaging or chatting features, allowing them to coordinate their activities with other players to form groups and achieve collective objectives.</w:t>
      </w:r>
    </w:p>
    <w:p>
      <w:pPr>
        <w:spacing w:after="0" w:line="14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Gameplay is monitored by game masters, who appear as game characters within the game world and provide assistance and guidance to players, as well as policing behavior of players in the game world to maintain an atmosphere of fun and fair play.</w:t>
      </w:r>
    </w:p>
    <w:p>
      <w:pPr>
        <w:spacing w:after="0" w:line="170" w:lineRule="exact"/>
        <w:rPr>
          <w:sz w:val="20"/>
          <w:szCs w:val="20"/>
          <w:color w:val="auto"/>
        </w:rPr>
      </w:pPr>
    </w:p>
    <w:p>
      <w:pPr>
        <w:ind w:right="20" w:firstLine="504"/>
        <w:spacing w:after="0" w:line="286" w:lineRule="auto"/>
        <w:rPr>
          <w:sz w:val="20"/>
          <w:szCs w:val="20"/>
          <w:color w:val="auto"/>
        </w:rPr>
      </w:pPr>
      <w:r>
        <w:rPr>
          <w:rFonts w:ascii="Arial" w:cs="Arial" w:eastAsia="Arial" w:hAnsi="Arial"/>
          <w:sz w:val="17"/>
          <w:szCs w:val="17"/>
          <w:color w:val="auto"/>
        </w:rPr>
        <w:t>Other than those aforementioned comprehensive upgrades, we periodically develop and release expansion packs, which expand game content and gameplay features for previously launched games. These periodic expansion packs are designed to retain the interest of existing users and to attract new users. The timing and success of periodic expansion packs have a strong influence on the popularity and profitability of online games.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Service</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believe that providing strong, dependable customer support is a key component to success in the online games business. Our customer service center provides 24 hour-a-day, 7 day-a-week customer service and technical support and can be contacted via telephone or e-mail. As of December 31, 2014, our company employed approximately 1,673 personnel in our call center as customer service specialists for our online games as well as for our other services, of which 655 personnel provided customer service support for World of Warcraft.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User Fees</w:t>
      </w:r>
    </w:p>
    <w:p>
      <w:pPr>
        <w:spacing w:after="0" w:line="225"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Users of our time-based games, such as New Westward Journey Online II, Fantasy Westward Journey II and New Westward Journey Online III, pay fees according to the amount of time they play the games, which was RMB0.40 (US$0.06) per hour for each game in 2012 and increased to RMB0.60 (US$0.10) per hour in February 2013. For our item-based games, such as Tianxia III, Heroes of Tang Dynasty Zero, Ghost II and Kung Fu Master II, we charge users a separate fee for each virtual item purchased within the games.</w:t>
      </w:r>
    </w:p>
    <w:p>
      <w:pPr>
        <w:spacing w:after="0" w:line="18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connection with the introduction of our online games, we developed a prepaid point card to facilitate payment of fees for our online game services and, to a lesser extent, our other fee-based value-added services. Users can buy prepaid point cards at a variety of locations in China, including Internet cafés, convenience stores, software stores, bookstores and newspaper stands. Electronic point cards can also be purchased through credit cards or our Wangyibao online payment platform through which players can directly credit their accounts at Internet cafés or computer stores. Each prepaid card contains an account number and a password. The points represented by these cards can then be transferred into users’ individual accounts on the NetEase websites and used to pay for our online services, primarily playing time for online games. We also utilize our point cards for the payment of virtual items as we launch item-based games for which playing time is free and players may purchase various virtual items to enhance their game playing experience.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80" w:firstLine="506"/>
        <w:spacing w:after="0" w:line="302" w:lineRule="auto"/>
        <w:rPr>
          <w:sz w:val="20"/>
          <w:szCs w:val="20"/>
          <w:color w:val="auto"/>
        </w:rPr>
      </w:pPr>
      <w:r>
        <w:rPr>
          <w:rFonts w:ascii="Arial" w:cs="Arial" w:eastAsia="Arial" w:hAnsi="Arial"/>
          <w:sz w:val="16"/>
          <w:szCs w:val="16"/>
          <w:color w:val="auto"/>
        </w:rPr>
        <w:t>Mobile games have gained increasing popularity and user base as Internet users in China rely more and more on mobile devices, such as smart phones and tablets, to access the Internet. In response to this trend, we are developing games that can be operated on mobile devices. As of December 31, 2014, we have commercially launched 12 mobile games of various genres, including self-developed mobile games such as Mini Westward Journey, Stay Calm! My Lord!, Battle to the West, and The World HD, and licensed mobiles games such as Dark Blade, World Soccer Collections and Ninja Must Die 2.</w:t>
      </w:r>
    </w:p>
    <w:p>
      <w:pPr>
        <w:spacing w:after="0" w:line="154" w:lineRule="exact"/>
        <w:rPr>
          <w:sz w:val="20"/>
          <w:szCs w:val="20"/>
          <w:color w:val="auto"/>
        </w:rPr>
      </w:pPr>
    </w:p>
    <w:p>
      <w:pPr>
        <w:ind w:right="20" w:firstLine="506"/>
        <w:spacing w:after="0" w:line="279" w:lineRule="auto"/>
        <w:rPr>
          <w:sz w:val="20"/>
          <w:szCs w:val="20"/>
          <w:color w:val="auto"/>
        </w:rPr>
      </w:pPr>
      <w:r>
        <w:rPr>
          <w:rFonts w:ascii="Arial" w:cs="Arial" w:eastAsia="Arial" w:hAnsi="Arial"/>
          <w:sz w:val="17"/>
          <w:szCs w:val="17"/>
          <w:color w:val="auto"/>
        </w:rPr>
        <w:t>We distribute our mobile games through partnerships with major Android- and iOS-based app stores in China as well as proprietary distribution channels, such as our website and the NetEase News App. Mobile game revenues are primarily derived from sales of in-game virtual items, including avatars, skills, privileges or other in-game consumables, features or functionality within our games. Users have a variety of payment options for in-game virtual items, including our prepaid cards, online payments through app stores and other online payment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 Licensing and Joint Venture with Blizzard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August 2008, Blizzard agreed to license to Shanghai EaseNet on an exclusive basis in China three personal computer strategy games: StarCraft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Wings of Liberty, a sequel to Blizzard’s space-themed strategy game, which was commercially launched in April 2011, and its first expansion pack, StarCraft</w:t>
      </w:r>
    </w:p>
    <w:p>
      <w:pPr>
        <w:spacing w:after="0" w:line="32" w:lineRule="exact"/>
        <w:rPr>
          <w:sz w:val="20"/>
          <w:szCs w:val="20"/>
          <w:color w:val="auto"/>
        </w:rPr>
      </w:pPr>
    </w:p>
    <w:p>
      <w:pPr>
        <w:ind w:right="20" w:firstLine="8"/>
        <w:spacing w:after="0" w:line="266" w:lineRule="auto"/>
        <w:tabs>
          <w:tab w:leader="none" w:pos="2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Heart of Swarm, in July 2013; Warcraft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III: Reign of Chaos</w:t>
      </w:r>
      <w:r>
        <w:rPr>
          <w:rFonts w:ascii="Arial" w:cs="Arial" w:eastAsia="Arial" w:hAnsi="Arial"/>
          <w:sz w:val="20"/>
          <w:szCs w:val="20"/>
          <w:color w:val="auto"/>
          <w:vertAlign w:val="superscript"/>
        </w:rPr>
        <w:t>®</w:t>
      </w:r>
      <w:r>
        <w:rPr>
          <w:rFonts w:ascii="Arial" w:cs="Arial" w:eastAsia="Arial" w:hAnsi="Arial"/>
          <w:sz w:val="16"/>
          <w:szCs w:val="16"/>
          <w:color w:val="auto"/>
        </w:rPr>
        <w:t>, a fantasy-themed strategy game; and Warcraft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III: The Frozen Throne</w:t>
      </w:r>
      <w:r>
        <w:rPr>
          <w:rFonts w:ascii="Arial" w:cs="Arial" w:eastAsia="Arial" w:hAnsi="Arial"/>
          <w:sz w:val="20"/>
          <w:szCs w:val="20"/>
          <w:color w:val="auto"/>
          <w:vertAlign w:val="superscript"/>
        </w:rPr>
        <w:t>®</w:t>
      </w:r>
      <w:r>
        <w:rPr>
          <w:rFonts w:ascii="Arial" w:cs="Arial" w:eastAsia="Arial" w:hAnsi="Arial"/>
          <w:sz w:val="16"/>
          <w:szCs w:val="16"/>
          <w:color w:val="auto"/>
        </w:rPr>
        <w:t>, an expansion pack to Warcraft III: Reign of Chaos. Blizzard also licensed to Shanghai EaseNet on an exclusive basis in China its Battle.net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 which enables multiplayer interaction within these games and other online services. The term of the license is three years, with an additional one year extension upon agreement of the parties, commencing from the commercial release of StarCraft II: Wings of Liberty in China. In April 2014, Blizzard and Shanghai EaseNet agreed to extend the term of the StarCraft II series license agreement for an additional three years commencing from April 2014. In addition, in January 2015, Shanghai EaseNet obtained the right to operate StarCraft II: Legacy of the Void, the second expansion pack of StarCraft II: Wings of Liberty, in China from Blizzard. Shanghai EaseNet, as licensee of the games, has paid to Blizzard an aggregate amount of RMB66.8 million (US$10.0 million) in license fees.</w:t>
      </w:r>
    </w:p>
    <w:p>
      <w:pPr>
        <w:spacing w:after="0" w:line="185" w:lineRule="exact"/>
        <w:rPr>
          <w:sz w:val="20"/>
          <w:szCs w:val="20"/>
          <w:color w:val="auto"/>
        </w:rPr>
      </w:pPr>
    </w:p>
    <w:p>
      <w:pPr>
        <w:ind w:right="60" w:firstLine="506"/>
        <w:spacing w:after="0" w:line="267" w:lineRule="auto"/>
        <w:rPr>
          <w:sz w:val="20"/>
          <w:szCs w:val="20"/>
          <w:color w:val="auto"/>
        </w:rPr>
      </w:pPr>
      <w:r>
        <w:rPr>
          <w:rFonts w:ascii="Arial" w:cs="Arial" w:eastAsia="Arial" w:hAnsi="Arial"/>
          <w:sz w:val="16"/>
          <w:szCs w:val="16"/>
          <w:color w:val="auto"/>
        </w:rPr>
        <w:t>In April 2009, Shanghai EaseNet paid Blizzard a three-year license fee of RMB204.8 million (US$30.0 million) for the right to operate World of Warcraft. Shanghai EaseNet commercially launched World of Warcraft (with its first expansion pack, The Burning Crusade</w:t>
      </w:r>
      <w:r>
        <w:rPr>
          <w:rFonts w:ascii="Arial" w:cs="Arial" w:eastAsia="Arial" w:hAnsi="Arial"/>
          <w:sz w:val="20"/>
          <w:szCs w:val="20"/>
          <w:color w:val="auto"/>
          <w:vertAlign w:val="superscript"/>
        </w:rPr>
        <w:t>®</w:t>
      </w:r>
      <w:r>
        <w:rPr>
          <w:rFonts w:ascii="Arial" w:cs="Arial" w:eastAsia="Arial" w:hAnsi="Arial"/>
          <w:sz w:val="16"/>
          <w:szCs w:val="16"/>
          <w:color w:val="auto"/>
        </w:rPr>
        <w:t>), and its subsequent expansion packs, Wrath of the Lich King</w:t>
      </w:r>
      <w:r>
        <w:rPr>
          <w:rFonts w:ascii="Arial" w:cs="Arial" w:eastAsia="Arial" w:hAnsi="Arial"/>
          <w:sz w:val="20"/>
          <w:szCs w:val="20"/>
          <w:color w:val="auto"/>
          <w:vertAlign w:val="superscript"/>
        </w:rPr>
        <w:t>®</w:t>
      </w:r>
      <w:r>
        <w:rPr>
          <w:rFonts w:ascii="Arial" w:cs="Arial" w:eastAsia="Arial" w:hAnsi="Arial"/>
          <w:sz w:val="16"/>
          <w:szCs w:val="16"/>
          <w:color w:val="auto"/>
        </w:rPr>
        <w:t>, Cataclysm</w:t>
      </w:r>
      <w:r>
        <w:rPr>
          <w:rFonts w:ascii="Arial" w:cs="Arial" w:eastAsia="Arial" w:hAnsi="Arial"/>
          <w:sz w:val="20"/>
          <w:szCs w:val="20"/>
          <w:color w:val="auto"/>
          <w:vertAlign w:val="superscript"/>
        </w:rPr>
        <w:t>®</w:t>
      </w:r>
      <w:r>
        <w:rPr>
          <w:rFonts w:ascii="Arial" w:cs="Arial" w:eastAsia="Arial" w:hAnsi="Arial"/>
          <w:sz w:val="16"/>
          <w:szCs w:val="16"/>
          <w:color w:val="auto"/>
        </w:rPr>
        <w:t>, Mists of Pandaria</w:t>
      </w:r>
      <w:r>
        <w:rPr>
          <w:rFonts w:ascii="Arial" w:cs="Arial" w:eastAsia="Arial" w:hAnsi="Arial"/>
          <w:sz w:val="20"/>
          <w:szCs w:val="20"/>
          <w:color w:val="auto"/>
          <w:vertAlign w:val="superscript"/>
        </w:rPr>
        <w:t>®</w:t>
      </w:r>
      <w:r>
        <w:rPr>
          <w:rFonts w:ascii="Arial" w:cs="Arial" w:eastAsia="Arial" w:hAnsi="Arial"/>
          <w:sz w:val="16"/>
          <w:szCs w:val="16"/>
          <w:color w:val="auto"/>
        </w:rPr>
        <w:t>, and Warlords of Draenor™, in September 2009, August 2010, July 2011, October 2012 and November 2014, respectively. Shanghai EaseNet’s license to operate World of Warcraft in the PRC originally had a three-year term from September 2009. In March 2012, Blizzard and Shanghai EaseNet agreed to extend the license term for an additional three years commencing from September 2012. Blizzard and Shanghai EaseNet are in the process of discussing a possible extension to the term of World of Warcraft license agreement.</w:t>
      </w:r>
    </w:p>
    <w:p>
      <w:pPr>
        <w:spacing w:after="0" w:line="182" w:lineRule="exact"/>
        <w:rPr>
          <w:sz w:val="20"/>
          <w:szCs w:val="20"/>
          <w:color w:val="auto"/>
        </w:rPr>
      </w:pPr>
    </w:p>
    <w:p>
      <w:pPr>
        <w:ind w:right="20" w:firstLine="506"/>
        <w:spacing w:after="0" w:line="342" w:lineRule="auto"/>
        <w:rPr>
          <w:sz w:val="20"/>
          <w:szCs w:val="20"/>
          <w:color w:val="auto"/>
        </w:rPr>
      </w:pPr>
      <w:r>
        <w:rPr>
          <w:rFonts w:ascii="Arial" w:cs="Arial" w:eastAsia="Arial" w:hAnsi="Arial"/>
          <w:sz w:val="16"/>
          <w:szCs w:val="16"/>
          <w:color w:val="auto"/>
        </w:rPr>
        <w:t>In November 2012, Shanghai EaseNet obtained the right to operate Heroes of the Storm (previously named Blizzard All-Stars) in China from Blizzard. The term of the license is three years, with an additional one year extension upon agreement of the parties, commencing from the commercial release of such</w:t>
      </w:r>
    </w:p>
    <w:p>
      <w:pPr>
        <w:sectPr>
          <w:pgSz w:w="11900" w:h="16908" w:orient="portrait"/>
          <w:cols w:equalWidth="0" w:num="1">
            <w:col w:w="11420"/>
          </w:cols>
          <w:pgMar w:left="240" w:top="125" w:right="239" w:bottom="0" w:gutter="0" w:footer="0" w:header="0"/>
        </w:sectPr>
      </w:pPr>
    </w:p>
    <w:bookmarkStart w:id="27" w:name="page28"/>
    <w:bookmarkEnd w:id="27"/>
    <w:p>
      <w:pPr>
        <w:ind w:right="860"/>
        <w:spacing w:after="0" w:line="277" w:lineRule="auto"/>
        <w:rPr>
          <w:sz w:val="20"/>
          <w:szCs w:val="20"/>
          <w:color w:val="auto"/>
        </w:rPr>
      </w:pPr>
      <w:r>
        <w:rPr>
          <w:rFonts w:ascii="Arial" w:cs="Arial" w:eastAsia="Arial" w:hAnsi="Arial"/>
          <w:sz w:val="18"/>
          <w:szCs w:val="18"/>
          <w:color w:val="auto"/>
        </w:rPr>
        <w:t>game in China. A closed beta testing version of Heroes of the Storm was launched in China in January 2015. Heroes of the Storm has not yet been commercially launched in China.</w:t>
      </w:r>
    </w:p>
    <w:p>
      <w:pPr>
        <w:spacing w:after="0" w:line="170" w:lineRule="exact"/>
        <w:rPr>
          <w:sz w:val="20"/>
          <w:szCs w:val="20"/>
          <w:color w:val="auto"/>
        </w:rPr>
      </w:pPr>
    </w:p>
    <w:p>
      <w:pPr>
        <w:ind w:firstLine="506"/>
        <w:spacing w:after="0" w:line="264" w:lineRule="auto"/>
        <w:rPr>
          <w:sz w:val="20"/>
          <w:szCs w:val="20"/>
          <w:color w:val="auto"/>
        </w:rPr>
      </w:pPr>
      <w:r>
        <w:rPr>
          <w:rFonts w:ascii="Arial" w:cs="Arial" w:eastAsia="Arial" w:hAnsi="Arial"/>
          <w:sz w:val="18"/>
          <w:szCs w:val="18"/>
          <w:color w:val="auto"/>
        </w:rPr>
        <w:t>In July 2013, Shanghai EaseNet obtained the right to operate Hearthstone: Heroes of Warcraft in China from Blizzard. The term of the license is three years, with an additional one year extension upon agreement of the parties, commencing from January 2014. We commercially launched Hearthstone: Heroes of Warcraft in China in January 2014.</w:t>
      </w:r>
    </w:p>
    <w:p>
      <w:pPr>
        <w:spacing w:after="0" w:line="181" w:lineRule="exact"/>
        <w:rPr>
          <w:sz w:val="20"/>
          <w:szCs w:val="20"/>
          <w:color w:val="auto"/>
        </w:rPr>
      </w:pPr>
    </w:p>
    <w:p>
      <w:pPr>
        <w:ind w:right="160" w:firstLine="506"/>
        <w:spacing w:after="0" w:line="264" w:lineRule="auto"/>
        <w:rPr>
          <w:sz w:val="20"/>
          <w:szCs w:val="20"/>
          <w:color w:val="auto"/>
        </w:rPr>
      </w:pPr>
      <w:r>
        <w:rPr>
          <w:rFonts w:ascii="Arial" w:cs="Arial" w:eastAsia="Arial" w:hAnsi="Arial"/>
          <w:sz w:val="18"/>
          <w:szCs w:val="18"/>
          <w:color w:val="auto"/>
        </w:rPr>
        <w:t>In June 2014, Shanghai EaseNet obtained the right to operate Diablo III in China from Blizzard. The term of the license is two years, with an additional one year extension upon agreement of the parties, commencing from the commercial release of such game in China. An open beta testing version of Diablo III was launched in China in April 2015. Diablo III has not yet been commercially launched in China.</w:t>
      </w:r>
    </w:p>
    <w:p>
      <w:pPr>
        <w:spacing w:after="0" w:line="181" w:lineRule="exact"/>
        <w:rPr>
          <w:sz w:val="20"/>
          <w:szCs w:val="20"/>
          <w:color w:val="auto"/>
        </w:rPr>
      </w:pPr>
    </w:p>
    <w:p>
      <w:pPr>
        <w:ind w:right="100" w:firstLine="506"/>
        <w:spacing w:after="0" w:line="269" w:lineRule="auto"/>
        <w:rPr>
          <w:sz w:val="20"/>
          <w:szCs w:val="20"/>
          <w:color w:val="auto"/>
        </w:rPr>
      </w:pPr>
      <w:r>
        <w:rPr>
          <w:rFonts w:ascii="Arial" w:cs="Arial" w:eastAsia="Arial" w:hAnsi="Arial"/>
          <w:sz w:val="17"/>
          <w:szCs w:val="17"/>
          <w:color w:val="auto"/>
        </w:rPr>
        <w:t>With respect to certain of these license agreements with Blizzard, Shanghai EaseNet is required to pay license fees, royalties and consultancy fees to Blizzard for the games. No license fees or consultancy fees are required to be paid for Heroes of the Storm, Hearthstone: Heroes of Warcraft and Diablo III. The license agreements also include minimum marketing expenditure commitments. In sum, the total commitments (including an additional commitment in connection with the three-year extension of the World of Warcraft license) amount to approximately RMB5.2 billion (US$0.8 billion) over the terms of the agreements. As of December 31, 2014, our outstanding commitments under the license agreements with respect to the StarCraft II series, World of Warcraft and Hearthstone: Heroes of Warcraft totaled RMB1.7 billion (US$0.3 billion). In addition, we expect to incur a commitment under the license agreements with respect to Heroes of the Storm and Diablo III of approximately RMB765.1 million (US$123.3 million) after their commercial launch. We have guaranteed the payment of the foregoing amounts if and to the extent Shanghai EaseNet has insufficient funds to make such payments. We will be entitled to reimbursement of any amounts paid for the marketing of the games and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Blizzard has the right to terminate the license of the foregoing games under certain circumstances.</w:t>
      </w:r>
    </w:p>
    <w:p>
      <w:pPr>
        <w:spacing w:after="0" w:line="225" w:lineRule="exact"/>
        <w:rPr>
          <w:sz w:val="20"/>
          <w:szCs w:val="20"/>
          <w:color w:val="auto"/>
        </w:rPr>
      </w:pPr>
    </w:p>
    <w:p>
      <w:pPr>
        <w:jc w:val="both"/>
        <w:ind w:right="160" w:firstLine="506"/>
        <w:spacing w:after="0" w:line="264" w:lineRule="auto"/>
        <w:rPr>
          <w:sz w:val="20"/>
          <w:szCs w:val="20"/>
          <w:color w:val="auto"/>
        </w:rPr>
      </w:pPr>
      <w:r>
        <w:rPr>
          <w:rFonts w:ascii="Arial" w:cs="Arial" w:eastAsia="Arial" w:hAnsi="Arial"/>
          <w:sz w:val="18"/>
          <w:szCs w:val="18"/>
          <w:color w:val="auto"/>
        </w:rPr>
        <w:t>Concurrently with the licensing of games from Blizzard in August 2008, we entered into arrangements to establish a joint venture with Blizzard. The joint venture provides technical services to Shanghai EaseNet in return for a fee. Net profits of the joint venture are shared equally between Blizzard and us, after the deduction of, among others, various fees and expenses payable to Blizzard and us.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Revenues from our online games accounted for 87.8%, 85.5% and 79.1% of our total net revenues in 2012, 2013 and 2014,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Portal</w:t>
      </w:r>
    </w:p>
    <w:p>
      <w:pPr>
        <w:spacing w:after="0" w:line="229" w:lineRule="exact"/>
        <w:rPr>
          <w:sz w:val="20"/>
          <w:szCs w:val="20"/>
          <w:color w:val="auto"/>
        </w:rPr>
      </w:pPr>
    </w:p>
    <w:p>
      <w:pPr>
        <w:ind w:right="100" w:firstLine="506"/>
        <w:spacing w:after="0" w:line="255" w:lineRule="auto"/>
        <w:rPr>
          <w:sz w:val="20"/>
          <w:szCs w:val="20"/>
          <w:color w:val="auto"/>
        </w:rPr>
      </w:pPr>
      <w:r>
        <w:rPr>
          <w:rFonts w:ascii="Arial" w:cs="Arial" w:eastAsia="Arial" w:hAnsi="Arial"/>
          <w:sz w:val="18"/>
          <w:szCs w:val="18"/>
          <w:color w:val="auto"/>
        </w:rPr>
        <w:t>Our Internet portal business, which is conducted through the NetEase websites, offers Chinese Internet users a network of Chinese language-based online content channels, community and communication services, including news content, community forums, mobile-based applications, open courses (which offer users access to recorded content from classes and lectures) and online video (which is a platform that provides various categories of video products, including news, entertainment, music, sports, financial and life). We also offer other Web-based applications and services, including a full text Chinese language search engine and a Web directory, to enhance their Internet experience. Our Internet services are all designed with user friendly interfaces and easy to understand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163.com</w:t>
      </w:r>
    </w:p>
    <w:p>
      <w:pPr>
        <w:spacing w:after="0" w:line="225" w:lineRule="exact"/>
        <w:rPr>
          <w:sz w:val="20"/>
          <w:szCs w:val="20"/>
          <w:color w:val="auto"/>
        </w:rPr>
      </w:pPr>
    </w:p>
    <w:p>
      <w:pPr>
        <w:ind w:right="40" w:firstLine="506"/>
        <w:spacing w:after="0" w:line="259" w:lineRule="auto"/>
        <w:rPr>
          <w:sz w:val="20"/>
          <w:szCs w:val="20"/>
          <w:color w:val="auto"/>
        </w:rPr>
      </w:pPr>
      <w:r>
        <w:rPr>
          <w:rFonts w:ascii="Arial" w:cs="Arial" w:eastAsia="Arial" w:hAnsi="Arial"/>
          <w:sz w:val="18"/>
          <w:szCs w:val="18"/>
          <w:color w:val="auto"/>
        </w:rPr>
        <w:t>The main homepage of the NetEase websites, www.163.com, provides a destination for Chinese Internet users to identify and access resources, services, content and information on the Internet. The NetEase websites aggregate, organize and deliver information to meet the needs of Internet users in China. Our media channels provide users with an efficient and easy way to explore and utilize a wealth of information and content organized around a variety of topics.</w:t>
      </w:r>
    </w:p>
    <w:p>
      <w:pPr>
        <w:spacing w:after="0" w:line="187" w:lineRule="exact"/>
        <w:rPr>
          <w:sz w:val="20"/>
          <w:szCs w:val="20"/>
          <w:color w:val="auto"/>
        </w:rPr>
      </w:pPr>
    </w:p>
    <w:p>
      <w:pPr>
        <w:ind w:right="620" w:firstLine="506"/>
        <w:spacing w:after="0" w:line="264" w:lineRule="auto"/>
        <w:rPr>
          <w:sz w:val="20"/>
          <w:szCs w:val="20"/>
          <w:color w:val="auto"/>
        </w:rPr>
      </w:pPr>
      <w:r>
        <w:rPr>
          <w:rFonts w:ascii="Arial" w:cs="Arial" w:eastAsia="Arial" w:hAnsi="Arial"/>
          <w:sz w:val="18"/>
          <w:szCs w:val="18"/>
          <w:color w:val="auto"/>
        </w:rPr>
        <w:t>The NetEase websites currently include various channels focusing on news, automobile, sports, finance, real estate, entertainment, science and information technology. Our mobile news application, NetEase News App, was the market leader in terms of time spent by users in the app as of December 31, 2014.</w:t>
      </w:r>
    </w:p>
    <w:p>
      <w:pPr>
        <w:spacing w:after="0" w:line="181" w:lineRule="exact"/>
        <w:rPr>
          <w:sz w:val="20"/>
          <w:szCs w:val="20"/>
          <w:color w:val="auto"/>
        </w:rPr>
      </w:pPr>
    </w:p>
    <w:p>
      <w:pPr>
        <w:ind w:firstLine="506"/>
        <w:spacing w:after="0" w:line="273" w:lineRule="auto"/>
        <w:rPr>
          <w:sz w:val="20"/>
          <w:szCs w:val="20"/>
          <w:color w:val="auto"/>
        </w:rPr>
      </w:pPr>
      <w:r>
        <w:rPr>
          <w:rFonts w:ascii="Arial" w:cs="Arial" w:eastAsia="Arial" w:hAnsi="Arial"/>
          <w:sz w:val="17"/>
          <w:szCs w:val="17"/>
          <w:color w:val="auto"/>
        </w:rPr>
        <w:t>Our content distribution platform enables the NetEase websites to offer in-depth local content as well as a variety of locally relevant regional and international content. We do not produce our own news content for the NetEase websites, but rather obtain such content from our content partners. Our content partners display their content on one or more of the NetEase websites and media channels free of charge or in exchange for a licensing fee, online advertising, access to original content produced by the NetEase user community or a combination of these arrangements. We distribute this content through our content distribution system to Guangzhou NetEase, which determines the appropriate content to publish on the NetEase websites and to distribute to users of our e-commerce services. Our content alliances are generally non-exclusive.</w:t>
      </w:r>
    </w:p>
    <w:p>
      <w:pPr>
        <w:spacing w:after="0" w:line="178" w:lineRule="exact"/>
        <w:rPr>
          <w:sz w:val="20"/>
          <w:szCs w:val="20"/>
          <w:color w:val="auto"/>
        </w:rPr>
      </w:pPr>
    </w:p>
    <w:p>
      <w:pPr>
        <w:ind w:right="100" w:firstLine="506"/>
        <w:spacing w:after="0" w:line="312" w:lineRule="auto"/>
        <w:rPr>
          <w:sz w:val="20"/>
          <w:szCs w:val="20"/>
          <w:color w:val="auto"/>
        </w:rPr>
      </w:pPr>
      <w:r>
        <w:rPr>
          <w:rFonts w:ascii="Arial" w:cs="Arial" w:eastAsia="Arial" w:hAnsi="Arial"/>
          <w:sz w:val="16"/>
          <w:szCs w:val="16"/>
          <w:color w:val="auto"/>
        </w:rPr>
        <w:t>We believe that the breadth and relevance of our content offerings increases the number of visits our users make to the NetEase websites and the amount of time they spend on these sites. We adopt a significant amount of user-generated content from the community forums on the NetEase websites. We believe that this user-generated content is highly effective in maintaining user interest and ensuring repeat visits to the NetEase websites.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Communication</w:t>
      </w:r>
    </w:p>
    <w:p>
      <w:pPr>
        <w:spacing w:after="0" w:line="225" w:lineRule="exact"/>
        <w:rPr>
          <w:sz w:val="20"/>
          <w:szCs w:val="20"/>
          <w:color w:val="auto"/>
        </w:rPr>
      </w:pPr>
    </w:p>
    <w:p>
      <w:pPr>
        <w:ind w:right="140" w:firstLine="506"/>
        <w:spacing w:after="0" w:line="312" w:lineRule="auto"/>
        <w:rPr>
          <w:sz w:val="20"/>
          <w:szCs w:val="20"/>
          <w:color w:val="auto"/>
        </w:rPr>
      </w:pPr>
      <w:r>
        <w:rPr>
          <w:rFonts w:ascii="Arial" w:cs="Arial" w:eastAsia="Arial" w:hAnsi="Arial"/>
          <w:sz w:val="16"/>
          <w:szCs w:val="16"/>
          <w:color w:val="auto"/>
        </w:rPr>
        <w:t>The NetEase websites have established a large online community member base as a result of our leading online community technology. We launched what we believe to be one of the first online communities in China in December 1998. Users can register with us online to interact with other registered community members. We believe that as users become more involved with our online community, they will return to the NetEase websites frequently.</w:t>
      </w:r>
    </w:p>
    <w:p>
      <w:pPr>
        <w:sectPr>
          <w:pgSz w:w="11900" w:h="16838" w:orient="portrait"/>
          <w:cols w:equalWidth="0" w:num="1">
            <w:col w:w="11400"/>
          </w:cols>
          <w:pgMar w:left="240" w:top="125" w:right="259" w:bottom="123"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NetEase users can interact through a variety of community services, including:</w:t>
      </w:r>
    </w:p>
    <w:p>
      <w:pPr>
        <w:spacing w:after="0" w:line="225" w:lineRule="exact"/>
        <w:rPr>
          <w:sz w:val="20"/>
          <w:szCs w:val="20"/>
          <w:color w:val="auto"/>
        </w:rPr>
      </w:pPr>
    </w:p>
    <w:p>
      <w:pPr>
        <w:ind w:left="1020" w:right="60" w:hanging="502"/>
        <w:spacing w:after="0" w:line="302" w:lineRule="auto"/>
        <w:tabs>
          <w:tab w:leader="none" w:pos="987"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Online Community Forums. </w:t>
      </w:r>
      <w:r>
        <w:rPr>
          <w:rFonts w:ascii="Arial" w:cs="Arial" w:eastAsia="Arial" w:hAnsi="Arial"/>
          <w:sz w:val="16"/>
          <w:szCs w:val="16"/>
          <w:color w:val="auto"/>
        </w:rPr>
        <w:t>We offer NetEase registered community members a variety of community forums where they can post messages</w:t>
      </w:r>
      <w:r>
        <w:rPr>
          <w:rFonts w:ascii="Arial" w:cs="Arial" w:eastAsia="Arial" w:hAnsi="Arial"/>
          <w:sz w:val="16"/>
          <w:szCs w:val="16"/>
          <w:i w:val="1"/>
          <w:iCs w:val="1"/>
          <w:color w:val="auto"/>
        </w:rPr>
        <w:t xml:space="preserve"> </w:t>
      </w:r>
      <w:r>
        <w:rPr>
          <w:rFonts w:ascii="Arial" w:cs="Arial" w:eastAsia="Arial" w:hAnsi="Arial"/>
          <w:sz w:val="16"/>
          <w:szCs w:val="16"/>
          <w:color w:val="auto"/>
        </w:rPr>
        <w:t>and articles for viewing by other registered community members and other users. The NetEase online communities are hosted by volunteers, who are chosen by us based on their contributions to the communities. The NetEase community volunteers monitor our community forums and select appropriate articles for posting. In addition, these forums are also monitored by NetEase customer service personnel.</w:t>
      </w:r>
    </w:p>
    <w:p>
      <w:pPr>
        <w:spacing w:after="0" w:line="154" w:lineRule="exact"/>
        <w:rPr>
          <w:rFonts w:ascii="Arial" w:cs="Arial" w:eastAsia="Arial" w:hAnsi="Arial"/>
          <w:sz w:val="16"/>
          <w:szCs w:val="16"/>
          <w:color w:val="auto"/>
        </w:rPr>
      </w:pPr>
    </w:p>
    <w:p>
      <w:pPr>
        <w:ind w:left="1020" w:right="200" w:hanging="502"/>
        <w:spacing w:after="0" w:line="277" w:lineRule="auto"/>
        <w:tabs>
          <w:tab w:leader="none" w:pos="98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Matchmaking and Others</w:t>
      </w:r>
      <w:r>
        <w:rPr>
          <w:rFonts w:ascii="Arial" w:cs="Arial" w:eastAsia="Arial" w:hAnsi="Arial"/>
          <w:sz w:val="18"/>
          <w:szCs w:val="18"/>
          <w:color w:val="auto"/>
        </w:rPr>
        <w:t>. We offer a large number of other community services including online matchmaking services, photo album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ind w:right="40" w:firstLine="506"/>
        <w:spacing w:after="0" w:line="273" w:lineRule="auto"/>
        <w:rPr>
          <w:sz w:val="20"/>
          <w:szCs w:val="20"/>
          <w:color w:val="auto"/>
        </w:rPr>
      </w:pPr>
      <w:r>
        <w:rPr>
          <w:rFonts w:ascii="Arial" w:cs="Arial" w:eastAsia="Arial" w:hAnsi="Arial"/>
          <w:sz w:val="17"/>
          <w:szCs w:val="17"/>
          <w:color w:val="auto"/>
        </w:rPr>
        <w:t>In addition to the services described above, the NetEase websites provide other services to our users including web search, blog search, image search, news search, online shopping search (Huihui.cn), online dictionary (Youdao Dictionary), toolbar and cloud note-taking application (Youdao Cloudnote), which automatically retrieves syndicated online content and customized sets of search results. Those products are powered by our own proprietary Internet search engine, Youdao, which was officially launched in December 2007 and is free of charge to users. Among these, Youdao Dictionary has become one of the most popular online translation tools among Chinese Internet users, achieving over 489 million installations as of December 31, 2014, and Huihui.cn is an online shopping search engine developed by us and launched in September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Internet Applications</w:t>
      </w:r>
    </w:p>
    <w:p>
      <w:pPr>
        <w:spacing w:after="0" w:line="225" w:lineRule="exact"/>
        <w:rPr>
          <w:sz w:val="20"/>
          <w:szCs w:val="20"/>
          <w:color w:val="auto"/>
        </w:rPr>
      </w:pPr>
    </w:p>
    <w:p>
      <w:pPr>
        <w:ind w:right="80" w:firstLine="506"/>
        <w:spacing w:after="0" w:line="302" w:lineRule="auto"/>
        <w:rPr>
          <w:sz w:val="20"/>
          <w:szCs w:val="20"/>
          <w:color w:val="auto"/>
        </w:rPr>
      </w:pPr>
      <w:r>
        <w:rPr>
          <w:rFonts w:ascii="Arial" w:cs="Arial" w:eastAsia="Arial" w:hAnsi="Arial"/>
          <w:sz w:val="16"/>
          <w:szCs w:val="16"/>
          <w:color w:val="auto"/>
        </w:rPr>
        <w:t>Many of our services, such as news content (NetEase News App), open courses (NetEase Open Courses), online dictionary (Youdao Dictionary) and cloud note-taking application (Youdao Cloudnote) may be accessed through mobile Internet and mobile applications, such as those operating on iPhone, iPad and Android devices. Designed as multi-device products, our products and services enable Chinese communities to participate in discussions on PCs and mobile devices, allowing easier and more frequent interactions and elevating the social media and networking experience to a different level.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Services on the Websites and Fees and Revenues</w:t>
      </w:r>
    </w:p>
    <w:p>
      <w:pPr>
        <w:spacing w:after="0" w:line="225" w:lineRule="exact"/>
        <w:rPr>
          <w:sz w:val="20"/>
          <w:szCs w:val="20"/>
          <w:color w:val="auto"/>
        </w:rPr>
      </w:pPr>
    </w:p>
    <w:p>
      <w:pPr>
        <w:jc w:val="both"/>
        <w:ind w:right="140" w:firstLine="506"/>
        <w:spacing w:after="0" w:line="264" w:lineRule="auto"/>
        <w:rPr>
          <w:sz w:val="20"/>
          <w:szCs w:val="20"/>
          <w:color w:val="auto"/>
        </w:rPr>
      </w:pPr>
      <w:r>
        <w:rPr>
          <w:rFonts w:ascii="Arial" w:cs="Arial" w:eastAsia="Arial" w:hAnsi="Arial"/>
          <w:sz w:val="18"/>
          <w:szCs w:val="18"/>
          <w:color w:val="auto"/>
        </w:rPr>
        <w:t>Revenue generated by our Internet portal business consists mainly of fees we receive from the sale of advertising space on the NetEase websites. Our free website content and services attract a large number of visitors who generate page views, which form the audience for us to provide advertising services for advertisers on our websites.</w:t>
      </w:r>
    </w:p>
    <w:p>
      <w:pPr>
        <w:spacing w:after="0" w:line="181" w:lineRule="exact"/>
        <w:rPr>
          <w:sz w:val="20"/>
          <w:szCs w:val="20"/>
          <w:color w:val="auto"/>
        </w:rPr>
      </w:pPr>
    </w:p>
    <w:p>
      <w:pPr>
        <w:ind w:right="420" w:firstLine="506"/>
        <w:spacing w:after="0" w:line="286" w:lineRule="auto"/>
        <w:rPr>
          <w:sz w:val="20"/>
          <w:szCs w:val="20"/>
          <w:color w:val="auto"/>
        </w:rPr>
      </w:pPr>
      <w:r>
        <w:rPr>
          <w:rFonts w:ascii="Arial" w:cs="Arial" w:eastAsia="Arial" w:hAnsi="Arial"/>
          <w:sz w:val="17"/>
          <w:szCs w:val="17"/>
          <w:color w:val="auto"/>
        </w:rPr>
        <w:t>Our advertising services utilize many advertising formats and techniques. These include sponsorships of our channels, advertisements such as animated and interactive banners, floating buttons, text-links, in-stream video and other formats throughout our websites, advertising through interactive media-rich sites and sponsored special events that integrate live events with online promotion and other media.</w:t>
      </w:r>
    </w:p>
    <w:p>
      <w:pPr>
        <w:spacing w:after="0" w:line="166" w:lineRule="exact"/>
        <w:rPr>
          <w:sz w:val="20"/>
          <w:szCs w:val="20"/>
          <w:color w:val="auto"/>
        </w:rPr>
      </w:pPr>
    </w:p>
    <w:p>
      <w:pPr>
        <w:jc w:val="both"/>
        <w:ind w:right="500" w:firstLine="506"/>
        <w:spacing w:after="0" w:line="264" w:lineRule="auto"/>
        <w:rPr>
          <w:sz w:val="20"/>
          <w:szCs w:val="20"/>
          <w:color w:val="auto"/>
        </w:rPr>
      </w:pPr>
      <w:r>
        <w:rPr>
          <w:rFonts w:ascii="Arial" w:cs="Arial" w:eastAsia="Arial" w:hAnsi="Arial"/>
          <w:sz w:val="18"/>
          <w:szCs w:val="18"/>
          <w:color w:val="auto"/>
        </w:rPr>
        <w:t>Furthermore, in compliance with applicable laws and ensuring the confidentiality of the information of our users, we transmit and store over our systems information, such as age, geographic location and interest, of our users and integrate such information to generate comprehensive demographic profiles for individual users, which enable us to better tailor our advertising services.</w:t>
      </w:r>
    </w:p>
    <w:p>
      <w:pPr>
        <w:spacing w:after="0" w:line="181" w:lineRule="exact"/>
        <w:rPr>
          <w:sz w:val="20"/>
          <w:szCs w:val="20"/>
          <w:color w:val="auto"/>
        </w:rPr>
      </w:pPr>
    </w:p>
    <w:p>
      <w:pPr>
        <w:ind w:right="120" w:firstLine="506"/>
        <w:spacing w:after="0" w:line="264" w:lineRule="auto"/>
        <w:rPr>
          <w:sz w:val="20"/>
          <w:szCs w:val="20"/>
          <w:color w:val="auto"/>
        </w:rPr>
      </w:pPr>
      <w:r>
        <w:rPr>
          <w:rFonts w:ascii="Arial" w:cs="Arial" w:eastAsia="Arial" w:hAnsi="Arial"/>
          <w:sz w:val="18"/>
          <w:szCs w:val="18"/>
          <w:color w:val="auto"/>
        </w:rPr>
        <w:t>To increase traffic on the NetEase websites and enhance the websites’ appeal to advertisers, we periodically sponsor major events, such as the 2010 Asian Games, Euro Cup 2012, the London Olympics and a partnership with the national football teams of Brazil and Spain to broadcast the 2014 World Cup on our portal and our mobile news application, NetEase News App.</w:t>
      </w:r>
    </w:p>
    <w:p>
      <w:pPr>
        <w:spacing w:after="0" w:line="181" w:lineRule="exact"/>
        <w:rPr>
          <w:sz w:val="20"/>
          <w:szCs w:val="20"/>
          <w:color w:val="auto"/>
        </w:rPr>
      </w:pPr>
    </w:p>
    <w:p>
      <w:pPr>
        <w:ind w:right="160" w:firstLine="506"/>
        <w:spacing w:after="0" w:line="264" w:lineRule="auto"/>
        <w:rPr>
          <w:sz w:val="20"/>
          <w:szCs w:val="20"/>
          <w:color w:val="auto"/>
        </w:rPr>
      </w:pPr>
      <w:r>
        <w:rPr>
          <w:rFonts w:ascii="Arial" w:cs="Arial" w:eastAsia="Arial" w:hAnsi="Arial"/>
          <w:sz w:val="18"/>
          <w:szCs w:val="18"/>
          <w:color w:val="auto"/>
        </w:rPr>
        <w:t>Pricing for our portal advertising services has varied based on a number of factors including the duration for which advertisements appear on the NetEase websites and/or the NetEase News App, how often such advertisements are viewed by users and the number of users that perform a specific action, such as registering onto an advertiser’s website.</w:t>
      </w:r>
    </w:p>
    <w:p>
      <w:pPr>
        <w:spacing w:after="0" w:line="181" w:lineRule="exact"/>
        <w:rPr>
          <w:sz w:val="20"/>
          <w:szCs w:val="20"/>
          <w:color w:val="auto"/>
        </w:rPr>
      </w:pPr>
    </w:p>
    <w:p>
      <w:pPr>
        <w:ind w:right="180" w:firstLine="506"/>
        <w:spacing w:after="0" w:line="302" w:lineRule="auto"/>
        <w:rPr>
          <w:sz w:val="20"/>
          <w:szCs w:val="20"/>
          <w:color w:val="auto"/>
        </w:rPr>
      </w:pPr>
      <w:r>
        <w:rPr>
          <w:rFonts w:ascii="Arial" w:cs="Arial" w:eastAsia="Arial" w:hAnsi="Arial"/>
          <w:sz w:val="16"/>
          <w:szCs w:val="16"/>
          <w:color w:val="auto"/>
        </w:rPr>
        <w:t>For our search engine technology-based business, Youdao Computer enters into “cost per action,” or CPA, advertising contracts with advertisers and receives fees when an online user performs a specific action such as purchasing a product from or registering with an advertiser appearing on a search page. Revenue for CPA contracts is recognized when the specific action is completed. Youdao Computer also enters into advertising business contracts which provide priority placements in a search directory and other online marketing services on the Youdao Dictionary service.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from our Internet portal accounted for 9.4%, 10.7% and 11.9% of our total net revenues in 2012, 2013 and 2014,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E-mail, E-commerce and Others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E-mail</w:t>
      </w:r>
    </w:p>
    <w:p>
      <w:pPr>
        <w:spacing w:after="0" w:line="225" w:lineRule="exact"/>
        <w:rPr>
          <w:sz w:val="20"/>
          <w:szCs w:val="20"/>
          <w:color w:val="auto"/>
        </w:rPr>
      </w:pPr>
    </w:p>
    <w:p>
      <w:pPr>
        <w:ind w:firstLine="506"/>
        <w:spacing w:after="0" w:line="289" w:lineRule="auto"/>
        <w:rPr>
          <w:sz w:val="20"/>
          <w:szCs w:val="20"/>
          <w:color w:val="auto"/>
        </w:rPr>
      </w:pPr>
      <w:r>
        <w:rPr>
          <w:rFonts w:ascii="Arial" w:cs="Arial" w:eastAsia="Arial" w:hAnsi="Arial"/>
          <w:sz w:val="16"/>
          <w:szCs w:val="16"/>
          <w:color w:val="auto"/>
        </w:rPr>
        <w:t>We provide registered users with free and fee-based premium e-mail services which support both the Chinese and English languages. Registered users can access and send e-mail through their Web browsers, smart phone application or through the POP3 and SMTP standards, which allow users to handle e-mails on their own e-mail applications without opening their browsers. The free e-mail service includes free SPAM filters and anti-virus protection as well as the convenience of an address book to maintain user contact lists online. As of December 31, 2014, we had approximately 740 million registered free e-mail users. We also offer value-added e-mail services for individuals, known as VIP, which provide fee-paying subscribers with the latest anti-virus and anti-SPAM filtering capabilities. The VIP e-mail service also includes enhanced security features as well as several convenient online and offline payment methods and 24-hour customer support. As of December 31, 2014, we had approximately 394,000 active VIP e-mail subscribers. In addition, we also offer fee-based premium e-mail services to corporate users, who could use their corporate name as e-mail address and enjoy our custom-made functions, such as group instant message, push mail service and Internet disk services. As of December 31, 2014, we had approximately 350,000 corporate e-mail customers.</w:t>
      </w:r>
    </w:p>
    <w:p>
      <w:pPr>
        <w:sectPr>
          <w:pgSz w:w="11900" w:h="16838" w:orient="portrait"/>
          <w:cols w:equalWidth="0" w:num="1">
            <w:col w:w="11420"/>
          </w:cols>
          <w:pgMar w:left="240" w:top="125" w:right="239" w:bottom="0" w:gutter="0" w:footer="0" w:header="0"/>
        </w:sectPr>
      </w:pPr>
    </w:p>
    <w:bookmarkStart w:id="29" w:name="page30"/>
    <w:bookmarkEnd w:id="29"/>
    <w:p>
      <w:pPr>
        <w:spacing w:after="0" w:line="3" w:lineRule="exact"/>
        <w:rPr>
          <w:sz w:val="20"/>
          <w:szCs w:val="20"/>
          <w:color w:val="auto"/>
        </w:rPr>
      </w:pPr>
    </w:p>
    <w:p>
      <w:pPr>
        <w:ind w:right="160" w:firstLine="506"/>
        <w:spacing w:after="0" w:line="277" w:lineRule="auto"/>
        <w:rPr>
          <w:sz w:val="20"/>
          <w:szCs w:val="20"/>
          <w:color w:val="auto"/>
        </w:rPr>
      </w:pPr>
      <w:r>
        <w:rPr>
          <w:rFonts w:ascii="Arial" w:cs="Arial" w:eastAsia="Arial" w:hAnsi="Arial"/>
          <w:sz w:val="18"/>
          <w:szCs w:val="18"/>
          <w:color w:val="auto"/>
        </w:rPr>
        <w:t>During 2014, we invested in significant upgrades to our mailbox infrastructure, including integrating our e-mail services with our mobile phone apps like Yichat and NetEase News App, and engaged in promotional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firstLine="506"/>
        <w:spacing w:after="0" w:line="290" w:lineRule="auto"/>
        <w:rPr>
          <w:sz w:val="20"/>
          <w:szCs w:val="20"/>
          <w:color w:val="auto"/>
        </w:rPr>
      </w:pPr>
      <w:r>
        <w:rPr>
          <w:rFonts w:ascii="Arial" w:cs="Arial" w:eastAsia="Arial" w:hAnsi="Arial"/>
          <w:sz w:val="16"/>
          <w:szCs w:val="16"/>
          <w:color w:val="auto"/>
        </w:rPr>
        <w:t>We provide our e-commerce services through our online platforms, including Caipiao, an online service that facilitates the processing of end users’ purchase orders for a wide selection of sports and welfare lottery products offered by third-party lottery vendors, and Baoxian, an online service that facilitates the sale of insurance products from third-party insurers. We act as an agent and do not buy, sell, manufacture, or design the lottery or insurance products. We help third-party vendors and insurers to collect payments from consumers through online payments via our Caipiao and Baoxian platforms. We generate revenues from service fees paid by third-party vendors and insurers based on a pre-determined service fee rate and the amount of processed orders from end users. For additional information, see Item 3.D. “Risk Factors—Risks Related to the Telecommunications and Internet Industries in China—We may be required under recently issued rules and regulations or by relevant government authorities to obtain governmental authorizations and approvals for providing e-commerce services related to third-party lottery products, which, if unattainable, may adversely affect our e-commerce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225" w:lineRule="exact"/>
        <w:rPr>
          <w:sz w:val="20"/>
          <w:szCs w:val="20"/>
          <w:color w:val="auto"/>
        </w:rPr>
      </w:pPr>
    </w:p>
    <w:p>
      <w:pPr>
        <w:ind w:right="60" w:firstLine="506"/>
        <w:spacing w:after="0" w:line="264" w:lineRule="auto"/>
        <w:rPr>
          <w:sz w:val="20"/>
          <w:szCs w:val="20"/>
          <w:color w:val="auto"/>
        </w:rPr>
      </w:pPr>
      <w:r>
        <w:rPr>
          <w:rFonts w:ascii="Arial" w:cs="Arial" w:eastAsia="Arial" w:hAnsi="Arial"/>
          <w:sz w:val="18"/>
          <w:szCs w:val="18"/>
          <w:color w:val="auto"/>
        </w:rPr>
        <w:t>In addition to the services described above, the NetEase websites provide products such as Wangyibao, our online payment platform, Yinxiangpai, our personalized photo-based products, game-related accessories, and other services to our users, such as e-reading (EaseRead) and online music SNS (Cloud music) services.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Revenues from e-mail, e-commerce and others accounted for 2.8%, 3.8% and 9.0% of total net revenues in 2012, 2013 and 2014,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Games</w:t>
      </w:r>
    </w:p>
    <w:p>
      <w:pPr>
        <w:spacing w:after="0" w:line="225" w:lineRule="exact"/>
        <w:rPr>
          <w:sz w:val="20"/>
          <w:szCs w:val="20"/>
          <w:color w:val="auto"/>
        </w:rPr>
      </w:pPr>
    </w:p>
    <w:p>
      <w:pPr>
        <w:ind w:right="220" w:firstLine="506"/>
        <w:spacing w:after="0" w:line="291" w:lineRule="auto"/>
        <w:rPr>
          <w:sz w:val="20"/>
          <w:szCs w:val="20"/>
          <w:color w:val="auto"/>
        </w:rPr>
      </w:pPr>
      <w:r>
        <w:rPr>
          <w:rFonts w:ascii="Arial" w:cs="Arial" w:eastAsia="Arial" w:hAnsi="Arial"/>
          <w:sz w:val="16"/>
          <w:szCs w:val="16"/>
          <w:color w:val="auto"/>
        </w:rPr>
        <w:t>We sell game playing time to users of the MMORPGs that we operate largely in the form of prepaid point cards. We sell prepaid point cards to end users through over 2,300 distributors as of December 31, 2014. These distributors arrange for our cards to be offered at various retail points in China including, notably, Internet cafés where many of the users of our online games access our system, and to a much lesser extent, directly over the Internet. Historically, we sold prepaid point cards to distributors at a 6.0% - 12.0% discount off of their face value. We reduced the discount to 6.0% - 10.0% in June 2012, 4.0% - 6.0% in January 2014 and 2.0% - 4.0% in February 2015. For the distributors selling prepaid point cards for use with the games licensed from Blizzard, the discount was 9.0 % -12.0%, which was reduced to 7.0% - 10.0% in December 2011, 4.0% - 6.0% in January 2014 and 2.0% - 4.0% in February 2015. The discount for each distributor varies based on that distributor’s volume of point cards purchased.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506"/>
        <w:spacing w:after="0" w:line="277" w:lineRule="auto"/>
        <w:rPr>
          <w:sz w:val="20"/>
          <w:szCs w:val="20"/>
          <w:color w:val="auto"/>
        </w:rPr>
      </w:pPr>
      <w:r>
        <w:rPr>
          <w:rFonts w:ascii="Arial" w:cs="Arial" w:eastAsia="Arial" w:hAnsi="Arial"/>
          <w:sz w:val="18"/>
          <w:szCs w:val="18"/>
          <w:color w:val="auto"/>
        </w:rPr>
        <w:t>Users can also purchase virtual prepaid cards online by debit card, credit card or bank transfer, and receive the prepaid point information over the Internet.</w:t>
      </w:r>
    </w:p>
    <w:p>
      <w:pPr>
        <w:spacing w:after="0" w:line="170" w:lineRule="exact"/>
        <w:rPr>
          <w:sz w:val="20"/>
          <w:szCs w:val="20"/>
          <w:color w:val="auto"/>
        </w:rPr>
      </w:pPr>
    </w:p>
    <w:p>
      <w:pPr>
        <w:ind w:right="60" w:firstLine="506"/>
        <w:spacing w:after="0" w:line="276" w:lineRule="auto"/>
        <w:rPr>
          <w:sz w:val="20"/>
          <w:szCs w:val="20"/>
          <w:color w:val="auto"/>
        </w:rPr>
      </w:pPr>
      <w:r>
        <w:rPr>
          <w:rFonts w:ascii="Arial" w:cs="Arial" w:eastAsia="Arial" w:hAnsi="Arial"/>
          <w:sz w:val="17"/>
          <w:szCs w:val="17"/>
          <w:color w:val="auto"/>
        </w:rPr>
        <w:t>For our mobile games, the Apple app store for iOS and third-party Android app stores such as Qihoo 360 Mobile and 91 Wireless are the dominant distribution channels in China. In addition, to leverage our existing user bases, we also publish our mobile games through our website and our NetEase News App and other mobile Internet applications. Mobile users in China have a variety of payment options for our mobile games, including prepaid cards, online payments through app stores and other online payment channels. App stores collect a portion of our revenues for mobile games downloaded through the app store, which is generally 30% for the iOS app store and ranges from 30% to 50% for Android app stores.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jc w:val="both"/>
        <w:ind w:right="100" w:firstLine="506"/>
        <w:spacing w:after="0" w:line="264" w:lineRule="auto"/>
        <w:rPr>
          <w:sz w:val="20"/>
          <w:szCs w:val="20"/>
          <w:color w:val="auto"/>
        </w:rPr>
      </w:pPr>
      <w:r>
        <w:rPr>
          <w:rFonts w:ascii="Arial" w:cs="Arial" w:eastAsia="Arial" w:hAnsi="Arial"/>
          <w:sz w:val="18"/>
          <w:szCs w:val="18"/>
          <w:color w:val="auto"/>
        </w:rPr>
        <w:t>We believe the growing number of Internet users in China represents an attractive demographic target for advertisers because it represents an affluent, educated and technically sophisticated market. To capitalize on this advertising opportunity, we maintain a dedicated advertising services sales force, which had 372 sales professionals located in Beijing, Shanghai and Guangzhou as of December 31, 2014.</w:t>
      </w:r>
    </w:p>
    <w:p>
      <w:pPr>
        <w:spacing w:after="0" w:line="181" w:lineRule="exact"/>
        <w:rPr>
          <w:sz w:val="20"/>
          <w:szCs w:val="20"/>
          <w:color w:val="auto"/>
        </w:rPr>
      </w:pPr>
    </w:p>
    <w:p>
      <w:pPr>
        <w:ind w:firstLine="506"/>
        <w:spacing w:after="0" w:line="255" w:lineRule="auto"/>
        <w:rPr>
          <w:sz w:val="20"/>
          <w:szCs w:val="20"/>
          <w:color w:val="auto"/>
        </w:rPr>
      </w:pPr>
      <w:r>
        <w:rPr>
          <w:rFonts w:ascii="Arial" w:cs="Arial" w:eastAsia="Arial" w:hAnsi="Arial"/>
          <w:sz w:val="18"/>
          <w:szCs w:val="18"/>
          <w:color w:val="auto"/>
        </w:rPr>
        <w:t>In addition, online advertising on the NetEase websites is also sold through online advertising sales networks and advertising agencies. We believe that our focus on providing widely-used services that are designed to appeal to a broad base of Internet users attracts a variety of blue chip advertisers, ranging from technology products to consumer brands (including, increasingly, Chinese companies).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websites that feature movies or television series, athletic events, music awards, charity concerts and industry exhibitions.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 discussion of the seasonality of our revenue, see Item 5 “Operating and Financial Review and Prospects—Revenue—Seasonality of Revenues.”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100" w:firstLine="506"/>
        <w:spacing w:after="0" w:line="284" w:lineRule="auto"/>
        <w:rPr>
          <w:sz w:val="20"/>
          <w:szCs w:val="20"/>
          <w:color w:val="auto"/>
        </w:rPr>
      </w:pPr>
      <w:r>
        <w:rPr>
          <w:rFonts w:ascii="Arial" w:cs="Arial" w:eastAsia="Arial" w:hAnsi="Arial"/>
          <w:sz w:val="16"/>
          <w:szCs w:val="16"/>
          <w:color w:val="auto"/>
        </w:rPr>
        <w:t>We employ a variety of traditional and online marketing programs and promotional activities to build our brand as part of our overall marketing strategy. We focus on building brand awareness through proactive public relations and traditional and online advertising. We invest in a series of marketing activities to further strengthen our brand image and continue to grow our user base. Our marketing campaigns consist of corporate branding and announcements about our services through outdoor, print and online advertisements. We also conduct in-game marketing campaigns, visible to users playing our online games, in connection with holiday seasons or the commercial launches of new games or expansion packs throughout the year. In 2014, we continued with efforts to maintain or raise the popularity of our time-based games, such as Fantasy Westward Journey II and New Westward Journey Online</w:t>
      </w:r>
    </w:p>
    <w:p>
      <w:pPr>
        <w:spacing w:after="0" w:line="5" w:lineRule="exact"/>
        <w:rPr>
          <w:sz w:val="20"/>
          <w:szCs w:val="20"/>
          <w:color w:val="auto"/>
        </w:rPr>
      </w:pPr>
    </w:p>
    <w:p>
      <w:pPr>
        <w:ind w:right="100" w:firstLine="8"/>
        <w:spacing w:after="0" w:line="255" w:lineRule="auto"/>
        <w:tabs>
          <w:tab w:leader="none" w:pos="1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III, our item-based games, such as Tianxia III, Ghost II, Heroes of Tang Dynasty Zero and Kung Fu Master II, our mobile games, such as Mini Westward Journey, Battle to the West and The World HD, and our licensed games from Blizzard through certain sales and promotional activities. We believe that players’ feedback has been positive in response to our recent promotional activities.</w:t>
      </w:r>
    </w:p>
    <w:p>
      <w:pPr>
        <w:sectPr>
          <w:pgSz w:w="11900" w:h="16841" w:orient="portrait"/>
          <w:cols w:equalWidth="0" w:num="1">
            <w:col w:w="11400"/>
          </w:cols>
          <w:pgMar w:left="240" w:top="125" w:right="259" w:bottom="0" w:gutter="0" w:footer="0" w:header="0"/>
        </w:sectPr>
      </w:pPr>
    </w:p>
    <w:bookmarkStart w:id="30" w:name="page31"/>
    <w:bookmarkEnd w:id="30"/>
    <w:p>
      <w:pPr>
        <w:ind w:right="20" w:firstLine="506"/>
        <w:spacing w:after="0" w:line="264" w:lineRule="auto"/>
        <w:rPr>
          <w:sz w:val="20"/>
          <w:szCs w:val="20"/>
          <w:color w:val="auto"/>
        </w:rPr>
      </w:pPr>
      <w:r>
        <w:rPr>
          <w:rFonts w:ascii="Arial" w:cs="Arial" w:eastAsia="Arial" w:hAnsi="Arial"/>
          <w:sz w:val="18"/>
          <w:szCs w:val="18"/>
          <w:color w:val="auto"/>
        </w:rPr>
        <w:t>We have entered into a number of agreements with third party promoters of our online game titles. Pursuant to these agreements, promoters market our game titles to potential customers in specific locations, principally Internet cafés and university campuses, in return for a commission for new users they recruit.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plan to continue investing in various forms of marketing to further build awareness of our brand and game titles.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firstLine="506"/>
        <w:spacing w:after="0" w:line="264" w:lineRule="auto"/>
        <w:rPr>
          <w:sz w:val="20"/>
          <w:szCs w:val="20"/>
          <w:color w:val="auto"/>
        </w:rPr>
      </w:pPr>
      <w:r>
        <w:rPr>
          <w:rFonts w:ascii="Arial" w:cs="Arial" w:eastAsia="Arial" w:hAnsi="Arial"/>
          <w:sz w:val="18"/>
          <w:szCs w:val="18"/>
          <w:color w:val="auto"/>
        </w:rPr>
        <w:t>We believe that the ability to develop and enhance our services is an integral part of our future success. Our product development efforts and strategies consist of incorporating new technologies from third parties as well as continuing to develop our own proprietary technology in order to produce user-friendly Internet and e-commerce applications, services and technologies for the Chinese market.</w:t>
      </w:r>
    </w:p>
    <w:p>
      <w:pPr>
        <w:spacing w:after="0" w:line="181" w:lineRule="exact"/>
        <w:rPr>
          <w:sz w:val="20"/>
          <w:szCs w:val="20"/>
          <w:color w:val="auto"/>
        </w:rPr>
      </w:pPr>
    </w:p>
    <w:p>
      <w:pPr>
        <w:ind w:right="100" w:firstLine="506"/>
        <w:spacing w:after="0" w:line="257"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e-commerce services to our users. We also have utilized and will continue to utilize third-party advertisement serving technologies in conjunction with our own proprietary software. In addition, we plan to continue to expand our technologies, services and registered user base through diverse online services developed internally. We will seek to continually improve and enhance our existing services to respond to rapidly evolving competitive and technological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06"/>
        <w:spacing w:after="0" w:line="264" w:lineRule="auto"/>
        <w:rPr>
          <w:sz w:val="20"/>
          <w:szCs w:val="20"/>
          <w:color w:val="auto"/>
        </w:rPr>
      </w:pPr>
      <w:r>
        <w:rPr>
          <w:rFonts w:ascii="Arial" w:cs="Arial" w:eastAsia="Arial" w:hAnsi="Arial"/>
          <w:sz w:val="18"/>
          <w:szCs w:val="18"/>
          <w:color w:val="auto"/>
        </w:rPr>
        <w:t>Our major area of focus is the development of our proprietary online games (including introducing new types of games) and localizing licensed games, and we plan to continue this focus in the future. As of December 31, 2014, we had approximately 3,600 programmers, network engineers and graphic designers dedicated to online game research and development.</w:t>
      </w:r>
    </w:p>
    <w:p>
      <w:pPr>
        <w:spacing w:after="0" w:line="181" w:lineRule="exact"/>
        <w:rPr>
          <w:sz w:val="20"/>
          <w:szCs w:val="20"/>
          <w:color w:val="auto"/>
        </w:rPr>
      </w:pPr>
    </w:p>
    <w:p>
      <w:pPr>
        <w:ind w:right="80" w:firstLine="506"/>
        <w:spacing w:after="0" w:line="287" w:lineRule="auto"/>
        <w:rPr>
          <w:sz w:val="20"/>
          <w:szCs w:val="20"/>
          <w:color w:val="auto"/>
        </w:rPr>
      </w:pPr>
      <w:r>
        <w:rPr>
          <w:rFonts w:ascii="Arial" w:cs="Arial" w:eastAsia="Arial" w:hAnsi="Arial"/>
          <w:sz w:val="16"/>
          <w:szCs w:val="16"/>
          <w:color w:val="auto"/>
        </w:rPr>
        <w:t>We have multiple studios of game developers established to research and develop new games and expansion packs. In developing a new game or expansion pack, game developers create proposals for the game theme and design, and then construct prototypes for management to review and approve. Next, our quality control staff, as well as volunteer players, conduct limited beta testing for the new game designs and expansion packs. Based on analysis of the feedback provided by the quality control staff and volunteer players, our game developers refine the game designs and expansion packs and then initiate unlimited beta testing, in which the game becomes available to the public. For games using the time-based revenue model, no revenue is collected from users during unlimited beta testing until commercial launch of the game. However, for games using the item-based revenue model, users in the unlimited beta testing can purchase in-game items, which allow those games to start generating revenue from the unlimited beta testing phase onwards. Accordingly, for item-based games, the beginning of unlimited beta testing is sometimes considered to be the commercial launch of the game. Our game developers further improve the new game designs and expansion packs as necessary based on user statistics and feedback gathered from unlimited beta testing. User statistics gathered from limited beta and unlimited beta testing results are compared with existing games, which enables us to assess the potential for success of the new games and expansion packs and to plan the network infrastructure and marketing efforts required to support each new game or expansion pack.</w:t>
      </w:r>
    </w:p>
    <w:p>
      <w:pPr>
        <w:spacing w:after="0" w:line="173" w:lineRule="exact"/>
        <w:rPr>
          <w:sz w:val="20"/>
          <w:szCs w:val="20"/>
          <w:color w:val="auto"/>
        </w:rPr>
      </w:pPr>
    </w:p>
    <w:p>
      <w:pPr>
        <w:ind w:right="440" w:firstLine="506"/>
        <w:spacing w:after="0" w:line="277" w:lineRule="auto"/>
        <w:rPr>
          <w:sz w:val="20"/>
          <w:szCs w:val="20"/>
          <w:color w:val="auto"/>
        </w:rPr>
      </w:pPr>
      <w:r>
        <w:rPr>
          <w:rFonts w:ascii="Arial" w:cs="Arial" w:eastAsia="Arial" w:hAnsi="Arial"/>
          <w:sz w:val="18"/>
          <w:szCs w:val="18"/>
          <w:color w:val="auto"/>
        </w:rPr>
        <w:t>In connection with our game development activities, we occasionally license specific game technologies which we incorporate into our internally developed games.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TECHNOLOGY</w:t>
      </w:r>
    </w:p>
    <w:p>
      <w:pPr>
        <w:spacing w:after="0" w:line="229" w:lineRule="exact"/>
        <w:rPr>
          <w:sz w:val="20"/>
          <w:szCs w:val="20"/>
          <w:color w:val="auto"/>
        </w:rPr>
      </w:pPr>
    </w:p>
    <w:p>
      <w:pPr>
        <w:ind w:firstLine="506"/>
        <w:spacing w:after="0" w:line="257" w:lineRule="auto"/>
        <w:rPr>
          <w:sz w:val="20"/>
          <w:szCs w:val="20"/>
          <w:color w:val="auto"/>
        </w:rPr>
      </w:pPr>
      <w:r>
        <w:rPr>
          <w:rFonts w:ascii="Arial" w:cs="Arial" w:eastAsia="Arial" w:hAnsi="Arial"/>
          <w:sz w:val="18"/>
          <w:szCs w:val="18"/>
          <w:color w:val="auto"/>
        </w:rPr>
        <w:t>Our infrastructure and technology have been designed for reliability, scalability and flexibility and are administered by our technical staff. The NetEase websites are made available primarily through network servers co-located in the facilities of China Unicom’s Beijing affiliate and China Telecom’s Beijing affiliates. As of December 31, 2014, there were approximately 31,000 of such co-located servers, including servers supporting the operation of the games licensed to Shanghai EaseNet by Blizzard, operating with Web server software from Apache and Netscape and using leased dedicated lines from CERNET and various affiliates of China Unicom and China Telecom.</w:t>
      </w:r>
    </w:p>
    <w:p>
      <w:pPr>
        <w:spacing w:after="0" w:line="188" w:lineRule="exact"/>
        <w:rPr>
          <w:sz w:val="20"/>
          <w:szCs w:val="20"/>
          <w:color w:val="auto"/>
        </w:rPr>
      </w:pPr>
    </w:p>
    <w:p>
      <w:pPr>
        <w:ind w:right="180" w:firstLine="506"/>
        <w:spacing w:after="0" w:line="277" w:lineRule="auto"/>
        <w:rPr>
          <w:sz w:val="20"/>
          <w:szCs w:val="20"/>
          <w:color w:val="auto"/>
        </w:rPr>
      </w:pPr>
      <w:r>
        <w:rPr>
          <w:rFonts w:ascii="Arial" w:cs="Arial" w:eastAsia="Arial" w:hAnsi="Arial"/>
          <w:sz w:val="18"/>
          <w:szCs w:val="18"/>
          <w:color w:val="auto"/>
        </w:rPr>
        <w:t>In addition, we also develop our own systems to facilitate sales planning, targeting, trafficking, inventory management and reporting tools, as well as advertisement and search tracking systems for our advertising and search services.</w:t>
      </w:r>
    </w:p>
    <w:p>
      <w:pPr>
        <w:spacing w:after="0" w:line="170" w:lineRule="exact"/>
        <w:rPr>
          <w:sz w:val="20"/>
          <w:szCs w:val="20"/>
          <w:color w:val="auto"/>
        </w:rPr>
      </w:pPr>
    </w:p>
    <w:p>
      <w:pPr>
        <w:ind w:right="140" w:firstLine="506"/>
        <w:spacing w:after="0" w:line="259" w:lineRule="auto"/>
        <w:rPr>
          <w:sz w:val="20"/>
          <w:szCs w:val="20"/>
          <w:color w:val="auto"/>
        </w:rPr>
      </w:pPr>
      <w:r>
        <w:rPr>
          <w:rFonts w:ascii="Arial" w:cs="Arial" w:eastAsia="Arial" w:hAnsi="Arial"/>
          <w:sz w:val="18"/>
          <w:szCs w:val="18"/>
          <w:color w:val="auto"/>
        </w:rPr>
        <w:t>We use Oracle’s database systems to manage our registered user database. NetEase has established a comprehensive user profile system, and we analyze user information on a weekly basis. We also deploy a single sign-on system that allows users to easily access our services within the NetEase websites. We intend to continue to use a combination of internally developed software products as well as third party products to enhance our Internet media services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506"/>
        <w:spacing w:after="0" w:line="273" w:lineRule="auto"/>
        <w:rPr>
          <w:sz w:val="20"/>
          <w:szCs w:val="20"/>
          <w:color w:val="auto"/>
        </w:rPr>
      </w:pPr>
      <w:r>
        <w:rPr>
          <w:rFonts w:ascii="Arial" w:cs="Arial" w:eastAsia="Arial" w:hAnsi="Arial"/>
          <w:sz w:val="17"/>
          <w:szCs w:val="17"/>
          <w:color w:val="auto"/>
        </w:rPr>
        <w:t>A number of companies offer competitive products or services in China, our main operating market. Specifically, we are encountering competition from companies offering MMORPGs and mobile games that target the China market, such as Tencent, Changyou.com Limited, Giant Interactive Group Inc., Shanda Games Limited, and Perfect World Company Limited. We also face competition from other websites that offer online content and online community services, including Tencent, Baidu, Alibaba, Sina, Sohu, Qihoo, iFeng.com, Youku, and other vertical Internet portals. Some of our existing and potential competitors in these areas have significantly greater financial and marketing resources than we do. In addition, we believe that many of our competitors have become more active in both licensing foreign-developed games and developing games in-house.</w:t>
      </w:r>
    </w:p>
    <w:p>
      <w:pPr>
        <w:spacing w:after="0" w:line="178" w:lineRule="exact"/>
        <w:rPr>
          <w:sz w:val="20"/>
          <w:szCs w:val="20"/>
          <w:color w:val="auto"/>
        </w:rPr>
      </w:pPr>
    </w:p>
    <w:p>
      <w:pPr>
        <w:ind w:right="120" w:firstLine="506"/>
        <w:spacing w:after="0" w:line="291" w:lineRule="auto"/>
        <w:rPr>
          <w:sz w:val="20"/>
          <w:szCs w:val="20"/>
          <w:color w:val="auto"/>
        </w:rPr>
      </w:pPr>
      <w:r>
        <w:rPr>
          <w:rFonts w:ascii="Arial" w:cs="Arial" w:eastAsia="Arial" w:hAnsi="Arial"/>
          <w:sz w:val="16"/>
          <w:szCs w:val="16"/>
          <w:color w:val="auto"/>
        </w:rPr>
        <w:t>We also believe that competition in the online advertising industry in China is intense with numerous competitors such as Baidu, Sina, Sohu, Tencent, Alibaba, Qihoo, iFeng.com and Youku, as well as other vertical Internet portals. In addition, we face competition from portals operated by multinational Internet companies such as Yahoo! Inc., Microsoft Corporation and Google Inc. which provide Chinese language service offerings.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Finally, we face competition from websites that operate outside our market and offer content in the English language, which may be attractive to a portion of Chinese Internet users. We also compete with traditional forms of media for advertising-related revenue.</w:t>
      </w:r>
    </w:p>
    <w:p>
      <w:pPr>
        <w:sectPr>
          <w:pgSz w:w="11900" w:h="16838" w:orient="portrait"/>
          <w:cols w:equalWidth="0" w:num="1">
            <w:col w:w="11420"/>
          </w:cols>
          <w:pgMar w:left="240" w:top="341" w:right="239" w:bottom="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506"/>
        <w:spacing w:after="0" w:line="277" w:lineRule="auto"/>
        <w:rPr>
          <w:sz w:val="20"/>
          <w:szCs w:val="20"/>
          <w:color w:val="auto"/>
        </w:rPr>
      </w:pPr>
      <w:r>
        <w:rPr>
          <w:rFonts w:ascii="Arial" w:cs="Arial" w:eastAsia="Arial" w:hAnsi="Arial"/>
          <w:sz w:val="18"/>
          <w:szCs w:val="18"/>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506"/>
        <w:spacing w:after="0" w:line="255" w:lineRule="auto"/>
        <w:rPr>
          <w:sz w:val="20"/>
          <w:szCs w:val="20"/>
          <w:color w:val="auto"/>
        </w:rPr>
      </w:pPr>
      <w:r>
        <w:rPr>
          <w:rFonts w:ascii="Arial" w:cs="Arial" w:eastAsia="Arial" w:hAnsi="Arial"/>
          <w:sz w:val="18"/>
          <w:szCs w:val="18"/>
          <w:color w:val="auto"/>
        </w:rPr>
        <w:t>The Chinese government has enacted an extensive regulatory scheme governing the operation of Internet-related businesses, such as telecommunications, Internet information services, international connection to computer information networks, information security and censorship. In addition to MII, the various services of the PRC Internet industry are regulated by various governmental authorities, such as the SAIC, the State Council Information Office, or SCIO, the General Administration for Press and Publication, or GAPP, the Ministry of Education, or MOE, the Ministry of Health, or MOH, the State Food and Drug Administration, or SFDA, the MOC, the State Administration of Press, Publication, Radio, Film and Television, or SARFT, the Ministry of Commerce and the Ministry of Public Security.</w:t>
      </w:r>
    </w:p>
    <w:p>
      <w:pPr>
        <w:spacing w:after="0" w:line="193" w:lineRule="exact"/>
        <w:rPr>
          <w:sz w:val="20"/>
          <w:szCs w:val="20"/>
          <w:color w:val="auto"/>
        </w:rPr>
      </w:pPr>
    </w:p>
    <w:p>
      <w:pPr>
        <w:ind w:right="80" w:firstLine="506"/>
        <w:spacing w:after="0" w:line="276" w:lineRule="auto"/>
        <w:rPr>
          <w:sz w:val="20"/>
          <w:szCs w:val="20"/>
          <w:color w:val="auto"/>
        </w:rPr>
      </w:pPr>
      <w:r>
        <w:rPr>
          <w:rFonts w:ascii="Arial" w:cs="Arial" w:eastAsia="Arial" w:hAnsi="Arial"/>
          <w:sz w:val="17"/>
          <w:szCs w:val="17"/>
          <w:color w:val="auto"/>
        </w:rPr>
        <w:t>In September 2000, China’s State Council promulgated the Telecommunications Regulations of the People’s Republic of China, or the Telecom Regulations. The Telecom Regulations categorized all telecommunications businesses in China as either basic telecommunications businesses or value-added telecommunications businesses, with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73" w:lineRule="exact"/>
        <w:rPr>
          <w:sz w:val="20"/>
          <w:szCs w:val="20"/>
          <w:color w:val="auto"/>
        </w:rPr>
      </w:pPr>
    </w:p>
    <w:p>
      <w:pPr>
        <w:ind w:right="20" w:firstLine="506"/>
        <w:spacing w:after="0" w:line="257" w:lineRule="auto"/>
        <w:rPr>
          <w:sz w:val="20"/>
          <w:szCs w:val="20"/>
          <w:color w:val="auto"/>
        </w:rPr>
      </w:pPr>
      <w:r>
        <w:rPr>
          <w:rFonts w:ascii="Arial" w:cs="Arial" w:eastAsia="Arial" w:hAnsi="Arial"/>
          <w:sz w:val="18"/>
          <w:szCs w:val="18"/>
          <w:color w:val="auto"/>
        </w:rPr>
        <w:t>In December 2001, in order to comply with China’s commitments with respect to its entry into the WTO, the State Council promulgated the Regulation for the Administration of Foreign-invested Telecommunications Enterprises, or the FITE Regulations, which was revised in September 2008. The FITE Regulations set forth detailed requirements with respect to capitalization, investor qualifications and application procedures in connection with the establishment of a foreign invested telecom enterprise. Pursuant to the FITE Regulations, foreign investors may hold an aggregate of no more than 50% of the total equity in any value-added telecommunications business in China.</w:t>
      </w:r>
    </w:p>
    <w:p>
      <w:pPr>
        <w:spacing w:after="0" w:line="188" w:lineRule="exact"/>
        <w:rPr>
          <w:sz w:val="20"/>
          <w:szCs w:val="20"/>
          <w:color w:val="auto"/>
        </w:rPr>
      </w:pPr>
    </w:p>
    <w:p>
      <w:pPr>
        <w:ind w:firstLine="506"/>
        <w:spacing w:after="0" w:line="270" w:lineRule="auto"/>
        <w:rPr>
          <w:sz w:val="20"/>
          <w:szCs w:val="20"/>
          <w:color w:val="auto"/>
        </w:rPr>
      </w:pPr>
      <w:r>
        <w:rPr>
          <w:rFonts w:ascii="Arial" w:cs="Arial" w:eastAsia="Arial" w:hAnsi="Arial"/>
          <w:sz w:val="17"/>
          <w:szCs w:val="17"/>
          <w:color w:val="auto"/>
        </w:rPr>
        <w:t>The Circular of the MII on Intensifying the Administration of Foreign Investment in Value-Added Telecommunication Services, or the 2006 MII Circular, was promulgated by MII on July 13, 2006. The 2006 MII Circular provides that (i) any domain name used by a valued—added telecom service provider must be legally owned by the service provider or its shareholder(s); (ii) any trademark used by a value-added telecom service provider must be legally owned by the service provider or its shareholder(s); (iii) the operation site and facilities of a value-added telecom service provider must be installed within the scope as prescribed by the operating licenses obtained by the service provider and must correspond to the value-added telecom services that the service provider has been approved to provide; and (iv) a value-added telecom service provider must establish or improve the measures of ensuring information security. Companies which have obtained operating licenses for value-added telecom services are required to conduct a self-examination and self-correction according to the foregoing requirements and report the results of such self-examination and self-correction to MII. To comply with these requirements, Guangzhou NetEase submitted its self-correction report to MII in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Information Services</w:t>
      </w:r>
    </w:p>
    <w:p>
      <w:pPr>
        <w:spacing w:after="0" w:line="225" w:lineRule="exact"/>
        <w:rPr>
          <w:sz w:val="20"/>
          <w:szCs w:val="20"/>
          <w:color w:val="auto"/>
        </w:rPr>
      </w:pPr>
    </w:p>
    <w:p>
      <w:pPr>
        <w:ind w:right="40" w:firstLine="506"/>
        <w:spacing w:after="0" w:line="253" w:lineRule="auto"/>
        <w:rPr>
          <w:sz w:val="20"/>
          <w:szCs w:val="20"/>
          <w:color w:val="auto"/>
        </w:rPr>
      </w:pPr>
      <w:r>
        <w:rPr>
          <w:rFonts w:ascii="Arial" w:cs="Arial" w:eastAsia="Arial" w:hAnsi="Arial"/>
          <w:sz w:val="18"/>
          <w:szCs w:val="18"/>
          <w:color w:val="auto"/>
        </w:rPr>
        <w:t>The Measures for the Administration of Internet Information Services, or the ICP Measures, issued by the State Council went into effect on September 25, 2000. Under the ICP Measures, any entity that provides information to Internet users must obtain an operating license from MII or its local branch at the provincial level in accordance with the Telecom Regulations described above. To provide these services in compliance with all the relevant ICP-related Chinese regulations, Guangzhou NetEase successfully obtained an ICP license issued by the Guangdong Provincial Telecommunications Bureau. Subsequently, Guangzhou NetEase obtained a Value-Added Telecom Business Operating License from the Guangdong Provincial Telecommunications Bureau, which replaced its ICP license and authorizes Guangzhou NetEase to provide Internet information services. Guangzhou NetEase obtained an Inter-Provincial Value-Added Telecommunications Business Operating License from MII, which specifically authorizes it to provide value-added telecommunications services (excluding fixed line phone call information services and Internet information services). Also, Shanghai EaseNet, Youdao Computer, Hangzhou Leihuo, Zhejiang Yixin Science &amp; Technology Co., Ltd, Wangyibao, Ujia E-commerce Co., Ltd., or Ujia, and Zhoushan Bole Technology Co., Ltd. have each obtained a Value-Added Telecommunications Business Operating License issued by a relevant Provincial Telecommunications Bureau.</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506"/>
        <w:spacing w:after="0" w:line="255" w:lineRule="auto"/>
        <w:rPr>
          <w:sz w:val="20"/>
          <w:szCs w:val="20"/>
          <w:color w:val="auto"/>
        </w:rPr>
      </w:pPr>
      <w:r>
        <w:rPr>
          <w:rFonts w:ascii="Arial" w:cs="Arial" w:eastAsia="Arial" w:hAnsi="Arial"/>
          <w:sz w:val="18"/>
          <w:szCs w:val="18"/>
          <w:color w:val="auto"/>
        </w:rPr>
        <w:t>The Provisional Regulations for the Administration of Website Operation of News Publications, which were jointly issued by SCIO and MII on November 6, 2000, stipulate that websites of non-news organizations shall not publish news items produced by themselves and require the websites of non-news organizations to be approved by SCIO after securing permission from SCIO at the provincial level. On September 25, 2005, the Regulations for the Administration of Internet News Information Services were promulgated jointly by SCIO and MII. The regulations require that any ICP operator that is a non-news organization but engaged in Internet news information services must obtain approval for those services from SCIO. Guangzhou NetEase has obtained an Internet News Information Service License from SCIO.</w:t>
      </w:r>
    </w:p>
    <w:p>
      <w:pPr>
        <w:spacing w:after="0" w:line="193" w:lineRule="exact"/>
        <w:rPr>
          <w:sz w:val="20"/>
          <w:szCs w:val="20"/>
          <w:color w:val="auto"/>
        </w:rPr>
      </w:pPr>
    </w:p>
    <w:p>
      <w:pPr>
        <w:ind w:right="80" w:firstLine="506"/>
        <w:spacing w:after="0" w:line="273" w:lineRule="auto"/>
        <w:rPr>
          <w:sz w:val="20"/>
          <w:szCs w:val="20"/>
          <w:color w:val="auto"/>
        </w:rPr>
      </w:pPr>
      <w:r>
        <w:rPr>
          <w:rFonts w:ascii="Arial" w:cs="Arial" w:eastAsia="Arial" w:hAnsi="Arial"/>
          <w:sz w:val="17"/>
          <w:szCs w:val="17"/>
          <w:color w:val="auto"/>
        </w:rPr>
        <w:t>On June 27, 2002, MII and GAPP jointly promulgated the Provisional Measures for the Administration of Internet Publishing, which require Internet publishers to secure approval from GAPP.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etc. that have already been formally published or works that have been made public in other media) and subsequently post the same on the Internet or transmit the same to users via the Internet for browsing, use or downloading by the public. Guangzhou NetEase has obtained a license from GAPP to engage in Internet publishing and we are in the process of renewing such license.</w:t>
      </w:r>
    </w:p>
    <w:p>
      <w:pPr>
        <w:sectPr>
          <w:pgSz w:w="11900" w:h="16838" w:orient="portrait"/>
          <w:cols w:equalWidth="0" w:num="1">
            <w:col w:w="11420"/>
          </w:cols>
          <w:pgMar w:left="240" w:top="125" w:right="239" w:bottom="0" w:gutter="0" w:footer="0" w:header="0"/>
        </w:sectPr>
      </w:pPr>
    </w:p>
    <w:bookmarkStart w:id="32" w:name="page33"/>
    <w:bookmarkEnd w:id="32"/>
    <w:p>
      <w:pPr>
        <w:jc w:val="both"/>
        <w:ind w:right="320" w:firstLine="506"/>
        <w:spacing w:after="0" w:line="264" w:lineRule="auto"/>
        <w:rPr>
          <w:sz w:val="20"/>
          <w:szCs w:val="20"/>
          <w:color w:val="auto"/>
        </w:rPr>
      </w:pPr>
      <w:r>
        <w:rPr>
          <w:rFonts w:ascii="Arial" w:cs="Arial" w:eastAsia="Arial" w:hAnsi="Arial"/>
          <w:sz w:val="18"/>
          <w:szCs w:val="18"/>
          <w:color w:val="auto"/>
        </w:rPr>
        <w:t>On July 8, 2004, SFDA issued the Measures for the Administration of Internet Drug Information Services, which stipulate that websites publishing drug-related information must obtain a license from local food and drug administrations. Guangzhou NetEase has obtained a license for publishing drug-related information from the Guangdong Food and Drug Administration.</w:t>
      </w:r>
    </w:p>
    <w:p>
      <w:pPr>
        <w:spacing w:after="0" w:line="181" w:lineRule="exact"/>
        <w:rPr>
          <w:sz w:val="20"/>
          <w:szCs w:val="20"/>
          <w:color w:val="auto"/>
        </w:rPr>
      </w:pPr>
    </w:p>
    <w:p>
      <w:pPr>
        <w:ind w:right="60" w:firstLine="506"/>
        <w:spacing w:after="0" w:line="257" w:lineRule="auto"/>
        <w:rPr>
          <w:sz w:val="20"/>
          <w:szCs w:val="20"/>
          <w:color w:val="auto"/>
        </w:rPr>
      </w:pPr>
      <w:r>
        <w:rPr>
          <w:rFonts w:ascii="Arial" w:cs="Arial" w:eastAsia="Arial" w:hAnsi="Arial"/>
          <w:sz w:val="18"/>
          <w:szCs w:val="18"/>
          <w:color w:val="auto"/>
        </w:rPr>
        <w:t>On May 1, 2009, MOH issued the Measures for the Administration of Internet Medical and Healthcare Information Services, or the 2009 MOH Measures, which replaced the previous Measures for the Administration of Internet Medical and Health Information Services issued by the MOH on January 3, 2001. According to the 2009 MOH Measures, entities engaging in medical and health information service must gain approval from local health administrations. Guangzhou NetEase has secured an approval for publishing medical and health information through a formal reply issued by the Guangdong Health Administration.</w:t>
      </w:r>
    </w:p>
    <w:p>
      <w:pPr>
        <w:spacing w:after="0" w:line="188" w:lineRule="exact"/>
        <w:rPr>
          <w:sz w:val="20"/>
          <w:szCs w:val="20"/>
          <w:color w:val="auto"/>
        </w:rPr>
      </w:pPr>
    </w:p>
    <w:p>
      <w:pPr>
        <w:ind w:right="160" w:firstLine="506"/>
        <w:spacing w:after="0" w:line="259" w:lineRule="auto"/>
        <w:rPr>
          <w:sz w:val="20"/>
          <w:szCs w:val="20"/>
          <w:color w:val="auto"/>
        </w:rPr>
      </w:pPr>
      <w:r>
        <w:rPr>
          <w:rFonts w:ascii="Arial" w:cs="Arial" w:eastAsia="Arial" w:hAnsi="Arial"/>
          <w:sz w:val="18"/>
          <w:szCs w:val="18"/>
          <w:color w:val="auto"/>
        </w:rPr>
        <w:t>The Provisional Measures for the Administration of Educational Websites and Online Education School were released by MOE on July 5, 2000. This regulation requires that educational websites, which include websites publishing education-related information, must obtain an approval from the relevant administrative department regulating education. In a formal reply issued by the Guangdong Education Administration, Guangzhou NetEase has been approved to operate educational websites.</w:t>
      </w:r>
    </w:p>
    <w:p>
      <w:pPr>
        <w:spacing w:after="0" w:line="187" w:lineRule="exact"/>
        <w:rPr>
          <w:sz w:val="20"/>
          <w:szCs w:val="20"/>
          <w:color w:val="auto"/>
        </w:rPr>
      </w:pPr>
    </w:p>
    <w:p>
      <w:pPr>
        <w:ind w:right="120" w:firstLine="506"/>
        <w:spacing w:after="0" w:line="271" w:lineRule="auto"/>
        <w:rPr>
          <w:sz w:val="20"/>
          <w:szCs w:val="20"/>
          <w:color w:val="auto"/>
        </w:rPr>
      </w:pPr>
      <w:r>
        <w:rPr>
          <w:rFonts w:ascii="Arial" w:cs="Arial" w:eastAsia="Arial" w:hAnsi="Arial"/>
          <w:sz w:val="17"/>
          <w:szCs w:val="17"/>
          <w:color w:val="auto"/>
        </w:rPr>
        <w:t>Pursuant to the Measures for the Administration of Internet E-mail Services, or the Internet E-mail Measures, which were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 or administrative regulation. Guangzhou NetEase has obtained an Inter-Provincial Value-Added Telecommunications Business Operating License.</w:t>
      </w:r>
    </w:p>
    <w:p>
      <w:pPr>
        <w:spacing w:after="0" w:line="179" w:lineRule="exact"/>
        <w:rPr>
          <w:sz w:val="20"/>
          <w:szCs w:val="20"/>
          <w:color w:val="auto"/>
        </w:rPr>
      </w:pPr>
    </w:p>
    <w:p>
      <w:pPr>
        <w:ind w:right="240" w:firstLine="506"/>
        <w:spacing w:after="0" w:line="286" w:lineRule="auto"/>
        <w:rPr>
          <w:sz w:val="20"/>
          <w:szCs w:val="20"/>
          <w:color w:val="auto"/>
        </w:rPr>
      </w:pPr>
      <w:r>
        <w:rPr>
          <w:rFonts w:ascii="Arial" w:cs="Arial" w:eastAsia="Arial" w:hAnsi="Arial"/>
          <w:sz w:val="17"/>
          <w:szCs w:val="17"/>
          <w:color w:val="auto"/>
        </w:rPr>
        <w:t>SARFT and MII jointly issued the Regulations for the Administration of Internet Audiovisual Program Services, or the Audiovisual Regulations, on December 20, 2007, which require that online audio and video service providers must obtain a permit from SARFT in accordance with the Audiovisual Regulations. Guangzhou NetEase has obtained the Permit for the Network Transmission of Audiovisual Programs issued by SARFT.</w:t>
      </w:r>
    </w:p>
    <w:p>
      <w:pPr>
        <w:spacing w:after="0" w:line="166" w:lineRule="exact"/>
        <w:rPr>
          <w:sz w:val="20"/>
          <w:szCs w:val="20"/>
          <w:color w:val="auto"/>
        </w:rPr>
      </w:pPr>
    </w:p>
    <w:p>
      <w:pPr>
        <w:ind w:right="80" w:firstLine="506"/>
        <w:spacing w:after="0" w:line="297" w:lineRule="auto"/>
        <w:rPr>
          <w:sz w:val="20"/>
          <w:szCs w:val="20"/>
          <w:color w:val="auto"/>
        </w:rPr>
      </w:pPr>
      <w:r>
        <w:rPr>
          <w:rFonts w:ascii="Arial" w:cs="Arial" w:eastAsia="Arial" w:hAnsi="Arial"/>
          <w:sz w:val="16"/>
          <w:szCs w:val="16"/>
          <w:color w:val="auto"/>
        </w:rPr>
        <w:t>On September 3, 2009, the MOC issued its Notice on Strengthening and Improving the Content Censorship of Online Music Content. According to this notice, only entities approved by the Ministry of Culture for an Internet Culture Operating License may engage in the production, release, dissemination (including providing direct links to music products) and importation of online music products. In addition, the notice also requires all domestic music products to be filed with the MOC within 30 days after being publicly available online. Imported music products must be approved by the MOC before being made available online. Guangzhou NetEase, Shanghai EaseNet, Hangzhou Leihuo and Ujia have each obtained an Internet Culture Operating License.</w:t>
      </w:r>
    </w:p>
    <w:p>
      <w:pPr>
        <w:spacing w:after="0" w:line="158" w:lineRule="exact"/>
        <w:rPr>
          <w:sz w:val="20"/>
          <w:szCs w:val="20"/>
          <w:color w:val="auto"/>
        </w:rPr>
      </w:pPr>
    </w:p>
    <w:p>
      <w:pPr>
        <w:ind w:firstLine="506"/>
        <w:spacing w:after="0" w:line="286" w:lineRule="auto"/>
        <w:rPr>
          <w:sz w:val="20"/>
          <w:szCs w:val="20"/>
          <w:color w:val="auto"/>
        </w:rPr>
      </w:pPr>
      <w:r>
        <w:rPr>
          <w:rFonts w:ascii="Arial" w:cs="Arial" w:eastAsia="Arial" w:hAnsi="Arial"/>
          <w:sz w:val="16"/>
          <w:szCs w:val="16"/>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required registration with the PBOC. In addition, on June 14, 2010, the PBOC issued the Measures for the Administration of Non-financial Institutions Engaging in Payment and Settlement Services, or the PBOC Measures, which became effective as of September 1, 2010 and require that non-financial institutions engaging in the business of effecting payments and settlements before June 14, 2010 obtain a permit, Payment Service Permit, from the PBOC by August 31, 2011 to continue such business. On December 1, 2010, the PBOC issued the Implementation Rules for the Measures for the Administration of Non-financial Institutions Engaging in Payment and Settlement Services, or the Implementation Rules for the PBOC Measures, which contains further elaboration with respect to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We have obtained the Payment Service Permit from the PBOC. For other details, see Item 3.D. “Risk Factors—Risks Related to the Telecommunications and Internet Industries in China—Regulatory restrictions on financial transactions may adversely affect the operation and profitability of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06"/>
        <w:spacing w:after="0" w:line="290" w:lineRule="auto"/>
        <w:rPr>
          <w:sz w:val="20"/>
          <w:szCs w:val="20"/>
          <w:color w:val="auto"/>
        </w:rPr>
      </w:pPr>
      <w:r>
        <w:rPr>
          <w:rFonts w:ascii="Arial" w:cs="Arial" w:eastAsia="Arial" w:hAnsi="Arial"/>
          <w:sz w:val="16"/>
          <w:szCs w:val="16"/>
          <w:color w:val="auto"/>
        </w:rPr>
        <w:t>On December 29, 2011, MII issued Several Provisions on Regulating the Market Order for Internet Information Services, or the Market Order Provisions. According to such provisions, Internet information service providers, or IISPs, are prohibited from a wide range of activities that would infringe upon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the users. Also, IISPs are prohibited from collecting information that is related to the users and can serve to identify the users’ identities solely or in conjunction with other information without the users’ consent or providing other people with such information, unless otherwise permitted or required under laws or administrative regulations. We believe our current operation is in compliance with the Market Order Provisions.</w:t>
      </w:r>
    </w:p>
    <w:p>
      <w:pPr>
        <w:spacing w:after="0" w:line="166" w:lineRule="exact"/>
        <w:rPr>
          <w:sz w:val="20"/>
          <w:szCs w:val="20"/>
          <w:color w:val="auto"/>
        </w:rPr>
      </w:pPr>
    </w:p>
    <w:p>
      <w:pPr>
        <w:ind w:right="40" w:firstLine="506"/>
        <w:spacing w:after="0" w:line="259" w:lineRule="auto"/>
        <w:rPr>
          <w:sz w:val="20"/>
          <w:szCs w:val="20"/>
          <w:color w:val="auto"/>
        </w:rPr>
      </w:pPr>
      <w:r>
        <w:rPr>
          <w:rFonts w:ascii="Arial" w:cs="Arial" w:eastAsia="Arial" w:hAnsi="Arial"/>
          <w:sz w:val="18"/>
          <w:szCs w:val="18"/>
          <w:color w:val="auto"/>
        </w:rPr>
        <w:t>On June 7, 2013, the PBOC issued the Measures for the Custody of Clients’ Reserves of Payment Institutions, or the Clients’ Reserves Measures, which defines Clients’ Reserves as funds actually received by payment institutions when processing payments for clients and payable upon clients order, and requires payment institutions to fully deposit the Clients’ Reserves into a dedicated deposit account held in the custody of banking institutions. We have taken necessary measures to comply with the Clients’ Reserves Measures.</w:t>
      </w:r>
    </w:p>
    <w:p>
      <w:pPr>
        <w:spacing w:after="0" w:line="187" w:lineRule="exact"/>
        <w:rPr>
          <w:sz w:val="20"/>
          <w:szCs w:val="20"/>
          <w:color w:val="auto"/>
        </w:rPr>
      </w:pPr>
    </w:p>
    <w:p>
      <w:pPr>
        <w:ind w:right="120" w:firstLine="506"/>
        <w:spacing w:after="0" w:line="257" w:lineRule="auto"/>
        <w:rPr>
          <w:sz w:val="20"/>
          <w:szCs w:val="20"/>
          <w:color w:val="auto"/>
        </w:rPr>
      </w:pPr>
      <w:r>
        <w:rPr>
          <w:rFonts w:ascii="Arial" w:cs="Arial" w:eastAsia="Arial" w:hAnsi="Arial"/>
          <w:sz w:val="18"/>
          <w:szCs w:val="18"/>
          <w:color w:val="auto"/>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w:t>
      </w:r>
    </w:p>
    <w:p>
      <w:pPr>
        <w:spacing w:after="0" w:line="188" w:lineRule="exact"/>
        <w:rPr>
          <w:sz w:val="20"/>
          <w:szCs w:val="20"/>
          <w:color w:val="auto"/>
        </w:rPr>
      </w:pPr>
    </w:p>
    <w:p>
      <w:pPr>
        <w:ind w:right="100" w:firstLine="506"/>
        <w:spacing w:after="0" w:line="342" w:lineRule="auto"/>
        <w:rPr>
          <w:sz w:val="20"/>
          <w:szCs w:val="20"/>
          <w:color w:val="auto"/>
        </w:rPr>
      </w:pPr>
      <w:r>
        <w:rPr>
          <w:rFonts w:ascii="Arial" w:cs="Arial" w:eastAsia="Arial" w:hAnsi="Arial"/>
          <w:sz w:val="16"/>
          <w:szCs w:val="16"/>
          <w:color w:val="auto"/>
        </w:rPr>
        <w:t>On August 7, 2014, SCIO issued the Interim Provisions on Managing the Development of Public Information Services on Instant Messaging Tools, or the Instant Messaging Interim Provisions, which stipulate that instant messaging tool service providers must enter into an agreement with their users during</w:t>
      </w:r>
    </w:p>
    <w:p>
      <w:pPr>
        <w:sectPr>
          <w:pgSz w:w="11900" w:h="16838" w:orient="portrait"/>
          <w:cols w:equalWidth="0" w:num="1">
            <w:col w:w="11420"/>
          </w:cols>
          <w:pgMar w:left="240" w:top="125" w:right="239" w:bottom="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account registration to require them to abide by “Seven Principals”, including, without limitation, laws and regulations, socialist system principals and social ethics. We believe we have taken the necessary measures to comply with the Instant Messaging Interim Provisions.</w:t>
      </w:r>
    </w:p>
    <w:p>
      <w:pPr>
        <w:spacing w:after="0" w:line="170" w:lineRule="exact"/>
        <w:rPr>
          <w:sz w:val="20"/>
          <w:szCs w:val="20"/>
          <w:color w:val="auto"/>
        </w:rPr>
      </w:pPr>
    </w:p>
    <w:p>
      <w:pPr>
        <w:ind w:right="100" w:firstLine="506"/>
        <w:spacing w:after="0" w:line="276" w:lineRule="auto"/>
        <w:rPr>
          <w:sz w:val="20"/>
          <w:szCs w:val="20"/>
          <w:color w:val="auto"/>
        </w:rPr>
      </w:pPr>
      <w:r>
        <w:rPr>
          <w:rFonts w:ascii="Arial" w:cs="Arial" w:eastAsia="Arial" w:hAnsi="Arial"/>
          <w:sz w:val="17"/>
          <w:szCs w:val="17"/>
          <w:color w:val="auto"/>
        </w:rPr>
        <w:t>On January 5, 2015, SAIC issued the Measures for the Punishment of Conduct Infringing the Rights and Interests of Consumers, or the Consumer Conduct Measures, which became effective on March 15, 2015.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such information in any form, or sending promotional message to consumers despite their express refusal. We believe we have taken the necessary measures to comply with the Consumer Conduct Measures.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Security and Censorship</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Regulations governing information security and censorship include:</w:t>
      </w:r>
    </w:p>
    <w:p>
      <w:pPr>
        <w:spacing w:after="0" w:line="225" w:lineRule="exact"/>
        <w:rPr>
          <w:sz w:val="20"/>
          <w:szCs w:val="20"/>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Law of the People’s Republic of China on the Preservation of State Secrets (2010) and its Implementation Rules (2014).</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Counter-espionage Law of the People’s Republic of China (2014).</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of the People’s Republic of China for Protecting the Security of Computer Information Systems (1994).</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Administrative Regulations for the Protection of Secrecy on Computer Information System Connected to International Networks (1997).</w:t>
      </w:r>
    </w:p>
    <w:p>
      <w:pPr>
        <w:spacing w:after="0" w:line="248" w:lineRule="exact"/>
        <w:rPr>
          <w:rFonts w:ascii="Arial" w:cs="Arial" w:eastAsia="Arial" w:hAnsi="Arial"/>
          <w:sz w:val="16"/>
          <w:szCs w:val="16"/>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Regulations for the Protection of State Secrets for Computer Information Systems on the Internet (2000).</w:t>
      </w:r>
    </w:p>
    <w:p>
      <w:pPr>
        <w:spacing w:after="0" w:line="225" w:lineRule="exact"/>
        <w:rPr>
          <w:rFonts w:ascii="Arial" w:cs="Arial" w:eastAsia="Arial" w:hAnsi="Arial"/>
          <w:sz w:val="18"/>
          <w:szCs w:val="18"/>
          <w:color w:val="auto"/>
        </w:rPr>
      </w:pPr>
    </w:p>
    <w:p>
      <w:pPr>
        <w:ind w:left="1020" w:right="120" w:hanging="506"/>
        <w:spacing w:after="0" w:line="308" w:lineRule="auto"/>
        <w:tabs>
          <w:tab w:leader="none" w:pos="99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Notice issued by the Ministry of Public Security of the People’s Republic of China Regarding Issues Relating to the Implementation of the Administrative Measure for the Security Protection of International Connections to Computer Information Networks (2000).</w:t>
      </w:r>
    </w:p>
    <w:p>
      <w:pPr>
        <w:spacing w:after="0" w:line="146" w:lineRule="exact"/>
        <w:rPr>
          <w:rFonts w:ascii="Arial" w:cs="Arial" w:eastAsia="Arial" w:hAnsi="Arial"/>
          <w:sz w:val="17"/>
          <w:szCs w:val="17"/>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Detailed Implementation Rules for the Administration of Commercial Website Filings for the Record (2000).</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Decision of the Standing Committee of the National People’s Congress Regarding the Safeguarding of Internet Security (2002).</w:t>
      </w:r>
    </w:p>
    <w:p>
      <w:pPr>
        <w:spacing w:after="0" w:line="236" w:lineRule="exact"/>
        <w:rPr>
          <w:rFonts w:ascii="Arial" w:cs="Arial" w:eastAsia="Arial" w:hAnsi="Arial"/>
          <w:sz w:val="17"/>
          <w:szCs w:val="17"/>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on the Technical Measures for the Protection of the Security of the Internet (2006).</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Regulations for the Classified Protection of Information Security (2007).</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Decision of the Standing Committee of the National People’s Congress on Strengthening Network Information Protection (2012).</w:t>
      </w:r>
    </w:p>
    <w:p>
      <w:pPr>
        <w:spacing w:after="0" w:line="236" w:lineRule="exact"/>
        <w:rPr>
          <w:rFonts w:ascii="Arial" w:cs="Arial" w:eastAsia="Arial" w:hAnsi="Arial"/>
          <w:sz w:val="17"/>
          <w:szCs w:val="17"/>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on Protection of Personal Information of Telecommunication and Internet Users (2013).</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Internet User Account Name Management Regulations (2015).</w:t>
      </w:r>
    </w:p>
    <w:p>
      <w:pPr>
        <w:spacing w:after="0" w:line="225"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147" w:lineRule="exact"/>
        <w:rPr>
          <w:sz w:val="20"/>
          <w:szCs w:val="20"/>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opposes the fundamental principles set forth in China’s Constitution;</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compromises state security, divulges state secrets, subverts state power or damages national unity;</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sabotages China’s religious policy or propagates heretical teachings or feudal superstitions;</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propagates obscenity, pornography, gambling, violence, murder or fear or incites the commission of crimes;</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other content prohibited by laws or administrative regulations.</w:t>
      </w:r>
    </w:p>
    <w:p>
      <w:pPr>
        <w:spacing w:after="0" w:line="225" w:lineRule="exact"/>
        <w:rPr>
          <w:sz w:val="20"/>
          <w:szCs w:val="20"/>
          <w:color w:val="auto"/>
        </w:rPr>
      </w:pPr>
    </w:p>
    <w:p>
      <w:pPr>
        <w:ind w:firstLine="506"/>
        <w:spacing w:after="0" w:line="297" w:lineRule="auto"/>
        <w:rPr>
          <w:sz w:val="20"/>
          <w:szCs w:val="20"/>
          <w:color w:val="auto"/>
        </w:rPr>
      </w:pPr>
      <w:r>
        <w:rPr>
          <w:rFonts w:ascii="Arial" w:cs="Arial" w:eastAsia="Arial" w:hAnsi="Arial"/>
          <w:sz w:val="16"/>
          <w:szCs w:val="16"/>
          <w:color w:val="auto"/>
        </w:rPr>
        <w:t>Failure to comply with these content censorship requirements may result in the revocation of licenses and the closing down of the concerned websites. To ensure compliance with these regulatory requirements, Guangzhou NetEase has taken all reasonable steps to avoid displaying any of the prohibited content on the NetEase websites. In addition, it is mandatory for Internet companies in the PRC to complete security-filing procedures and regularly update information security and censorship systems for their websites with the local public security bureau. Guangzhou NetEase has obtained a Filing and Registration Certificate for Computer Information System Connected to International Networks issued by Guangzhou Public Security Bureau.</w:t>
      </w:r>
    </w:p>
    <w:p>
      <w:pPr>
        <w:spacing w:after="0" w:line="158" w:lineRule="exact"/>
        <w:rPr>
          <w:sz w:val="20"/>
          <w:szCs w:val="20"/>
          <w:color w:val="auto"/>
        </w:rPr>
      </w:pPr>
    </w:p>
    <w:p>
      <w:pPr>
        <w:ind w:right="280" w:firstLine="506"/>
        <w:spacing w:after="0" w:line="312" w:lineRule="auto"/>
        <w:rPr>
          <w:sz w:val="20"/>
          <w:szCs w:val="20"/>
          <w:color w:val="auto"/>
        </w:rPr>
      </w:pPr>
      <w:r>
        <w:rPr>
          <w:rFonts w:ascii="Arial" w:cs="Arial" w:eastAsia="Arial" w:hAnsi="Arial"/>
          <w:sz w:val="16"/>
          <w:szCs w:val="16"/>
          <w:color w:val="auto"/>
        </w:rPr>
        <w:t>On June 22,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w:t>
      </w:r>
    </w:p>
    <w:p>
      <w:pPr>
        <w:sectPr>
          <w:pgSz w:w="11900" w:h="16838" w:orient="portrait"/>
          <w:cols w:equalWidth="0" w:num="1">
            <w:col w:w="11420"/>
          </w:cols>
          <w:pgMar w:left="240" w:top="125" w:right="239" w:bottom="0" w:gutter="0" w:footer="0" w:header="0"/>
        </w:sectPr>
      </w:pPr>
    </w:p>
    <w:bookmarkStart w:id="34" w:name="page35"/>
    <w:bookmarkEnd w:id="34"/>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Public Security and its bureaus at provincial level. Guangzhou NetEase has followed the requirements and filed its classification with the Guangzhou Public Security Bureau.</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06"/>
        <w:spacing w:after="0" w:line="273" w:lineRule="auto"/>
        <w:rPr>
          <w:sz w:val="20"/>
          <w:szCs w:val="20"/>
          <w:color w:val="auto"/>
        </w:rPr>
      </w:pPr>
      <w:r>
        <w:rPr>
          <w:rFonts w:ascii="Arial" w:cs="Arial" w:eastAsia="Arial" w:hAnsi="Arial"/>
          <w:sz w:val="17"/>
          <w:szCs w:val="17"/>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or Personal Information, is protected and no person shall steal, illegally obtain, sell or illegally provide to others any Personal Information. Also, according to the Information Protection Decision, where the network service providers provide website access service, or handle network access formalities for fixed-line telephones or mobile phones, or provide information publication service for their users, they shall require the users to provide authentic identity information when concluding agreement or confirming provision of such service with the users.</w:t>
      </w:r>
    </w:p>
    <w:p>
      <w:pPr>
        <w:spacing w:after="0" w:line="178" w:lineRule="exact"/>
        <w:rPr>
          <w:sz w:val="20"/>
          <w:szCs w:val="20"/>
          <w:color w:val="auto"/>
        </w:rPr>
      </w:pPr>
    </w:p>
    <w:p>
      <w:pPr>
        <w:ind w:right="60" w:firstLine="506"/>
        <w:spacing w:after="0" w:line="259" w:lineRule="auto"/>
        <w:rPr>
          <w:sz w:val="20"/>
          <w:szCs w:val="20"/>
          <w:color w:val="auto"/>
        </w:rPr>
      </w:pPr>
      <w:r>
        <w:rPr>
          <w:rFonts w:ascii="Arial" w:cs="Arial" w:eastAsia="Arial" w:hAnsi="Arial"/>
          <w:sz w:val="18"/>
          <w:szCs w:val="18"/>
          <w:color w:val="auto"/>
        </w:rPr>
        <w:t>On July 16, 2013, MII issued the Provisions on Protection of Personal Information of Telecommunication and Internet Users, which defines “Personal Information” as information that can identify the user either on its own or in combination with other information that is collected in the course of provision of services by the telecommunication business operators and internet information service providers, and sets out detailed provisions concerning the collection and utilization of such Personal Information.</w:t>
      </w:r>
    </w:p>
    <w:p>
      <w:pPr>
        <w:spacing w:after="0" w:line="187" w:lineRule="exact"/>
        <w:rPr>
          <w:sz w:val="20"/>
          <w:szCs w:val="20"/>
          <w:color w:val="auto"/>
        </w:rPr>
      </w:pPr>
    </w:p>
    <w:p>
      <w:pPr>
        <w:ind w:right="80" w:firstLine="506"/>
        <w:spacing w:after="0" w:line="276" w:lineRule="auto"/>
        <w:rPr>
          <w:sz w:val="20"/>
          <w:szCs w:val="20"/>
          <w:color w:val="auto"/>
        </w:rPr>
      </w:pPr>
      <w:r>
        <w:rPr>
          <w:rFonts w:ascii="Arial" w:cs="Arial" w:eastAsia="Arial" w:hAnsi="Arial"/>
          <w:sz w:val="17"/>
          <w:szCs w:val="17"/>
          <w:color w:val="auto"/>
        </w:rPr>
        <w:t>On February 4, 2015, the SCIO issued the Internet User Account Name Management Regulations, which defines “Internet User Account Name” as an account name registered or used in internet information services, including, without limitation, blogs, micro-blogs, instant communication tools, forums and thread comments. Also, according to the Internet User Account Name Management Regulations, internet information service providers must prohibit their users from using any illegal or harmful information in their account name, avatar, profile or other registration information. We believe we have taken the necessary measures to comply with the Internet User Account Name Management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Games</w:t>
      </w:r>
    </w:p>
    <w:p>
      <w:pPr>
        <w:spacing w:after="0" w:line="225" w:lineRule="exact"/>
        <w:rPr>
          <w:sz w:val="20"/>
          <w:szCs w:val="20"/>
          <w:color w:val="auto"/>
        </w:rPr>
      </w:pPr>
    </w:p>
    <w:p>
      <w:pPr>
        <w:ind w:firstLine="506"/>
        <w:spacing w:after="0" w:line="293" w:lineRule="auto"/>
        <w:rPr>
          <w:sz w:val="20"/>
          <w:szCs w:val="20"/>
          <w:color w:val="auto"/>
        </w:rPr>
      </w:pPr>
      <w:r>
        <w:rPr>
          <w:rFonts w:ascii="Arial" w:cs="Arial" w:eastAsia="Arial" w:hAnsi="Arial"/>
          <w:sz w:val="16"/>
          <w:szCs w:val="16"/>
          <w:color w:val="auto"/>
        </w:rPr>
        <w:t>Effective as of April 10, 2009, the Measures for the Administration of Software Products, originally issued by MII on October 27, 2000, were amended and replaced by a new version issued by the MII in April 2009. According to these regulations, software products developed in the PRC could be registered with the local provincial government authorities in charge of the information industry and filed with the MII. Upon registration, the software products are granted registration certificates. In accordance with this regulation, all of our online games, including New Westward Journey Online II, Fantasy Westward Journey II, Tianxia III, New Westward Journey Online III, New Legend of Westward Journey, Ghost II, Legend of Fairy, New Fly For Fun, Heroes of Tang Dynasty II, Dragon Sword, Kung Fu Master, and other casual games have been registered with MII and its offices at the provincial level.</w:t>
      </w:r>
    </w:p>
    <w:p>
      <w:pPr>
        <w:spacing w:after="0" w:line="165" w:lineRule="exact"/>
        <w:rPr>
          <w:sz w:val="20"/>
          <w:szCs w:val="20"/>
          <w:color w:val="auto"/>
        </w:rPr>
      </w:pPr>
    </w:p>
    <w:p>
      <w:pPr>
        <w:ind w:right="60" w:firstLine="506"/>
        <w:spacing w:after="0" w:line="293" w:lineRule="auto"/>
        <w:rPr>
          <w:sz w:val="20"/>
          <w:szCs w:val="20"/>
          <w:color w:val="auto"/>
        </w:rPr>
      </w:pPr>
      <w:r>
        <w:rPr>
          <w:rFonts w:ascii="Arial" w:cs="Arial" w:eastAsia="Arial" w:hAnsi="Arial"/>
          <w:sz w:val="16"/>
          <w:szCs w:val="16"/>
          <w:color w:val="auto"/>
        </w:rPr>
        <w:t>Pursuant to the Provisional Regulations for the Administration of Online Culture promulgated by MOC in May 2003, which were revised in July 2004 and February 2011, online game operators are required to obtain an Internet Culture Operating License from MOC, which Guangzhou NetEase, Shanghai EaseNet and Hangzhou Leihuo have received. In 2004, MOC promulgated the Notice Regarding the Strengthening of Online Games Censorship, which provides that imported online games must be reviewed and approved by MOC before they can be put into public testing or operation. Shanghai EaseNet has obtained MOC approval for World of Warcraft, including its expansion packs, The Burning Crusade, Wrath of the Lich King, Cataclysm, Mists of Pandaria and Warlords of Draenor, and StarCraft II: Wings of Liberty, including its Heart of the Swarm expansion pack, and Hearthstone: Heroes of Warcraft.</w:t>
      </w:r>
    </w:p>
    <w:p>
      <w:pPr>
        <w:spacing w:after="0" w:line="165" w:lineRule="exact"/>
        <w:rPr>
          <w:sz w:val="20"/>
          <w:szCs w:val="20"/>
          <w:color w:val="auto"/>
        </w:rPr>
      </w:pPr>
    </w:p>
    <w:p>
      <w:pPr>
        <w:ind w:right="140" w:firstLine="506"/>
        <w:spacing w:after="0" w:line="264" w:lineRule="auto"/>
        <w:rPr>
          <w:sz w:val="20"/>
          <w:szCs w:val="20"/>
          <w:color w:val="auto"/>
        </w:rPr>
      </w:pPr>
      <w:r>
        <w:rPr>
          <w:rFonts w:ascii="Arial" w:cs="Arial" w:eastAsia="Arial" w:hAnsi="Arial"/>
          <w:sz w:val="18"/>
          <w:szCs w:val="18"/>
          <w:color w:val="auto"/>
        </w:rPr>
        <w:t>On April 24, 2009, MOC issued a Circular Concerning the Examination and Declaration of Imported Online Game Products. According to this circular, in the event of a change of the operator of an imported online game, the game’s existing import approval will be automatically revoked and the new operator must apply to the MOC for a new approval for the same game.</w:t>
      </w:r>
    </w:p>
    <w:p>
      <w:pPr>
        <w:spacing w:after="0" w:line="181" w:lineRule="exact"/>
        <w:rPr>
          <w:sz w:val="20"/>
          <w:szCs w:val="20"/>
          <w:color w:val="auto"/>
        </w:rPr>
      </w:pPr>
    </w:p>
    <w:p>
      <w:pPr>
        <w:ind w:right="20" w:firstLine="506"/>
        <w:spacing w:after="0" w:line="293" w:lineRule="auto"/>
        <w:rPr>
          <w:sz w:val="20"/>
          <w:szCs w:val="20"/>
          <w:color w:val="auto"/>
        </w:rPr>
      </w:pPr>
      <w:r>
        <w:rPr>
          <w:rFonts w:ascii="Arial" w:cs="Arial" w:eastAsia="Arial" w:hAnsi="Arial"/>
          <w:sz w:val="16"/>
          <w:szCs w:val="16"/>
          <w:color w:val="auto"/>
        </w:rPr>
        <w:t>On June 4, 2009, MOC and the Ministry of Commerce jointly issued the Notice on Strengthening Administration on Online Game Virtual Currency, or the Online Game Virtual Currency Notice. According to the Online Game Virtual Currency Notice, online game virtual currency should only be used to exchange virtual services provided by the issuing enterprise for a designated extent and time, and is strictly prohibited from being used to pay for or purchase tangible products or any service or product of another enterprise. Also, the Online Game Virtual Currency Notice obligates the issuing enterprise to give users 60 days prior notice and refund in the form of legal tender or other forms acceptable to users in case it plans to terminate the provision of its products or services. We have implemented measures which we believe are necessary to ensure our compliance of the Online Game Virtual Currency Notice.</w:t>
      </w:r>
    </w:p>
    <w:p>
      <w:pPr>
        <w:spacing w:after="0" w:line="165" w:lineRule="exact"/>
        <w:rPr>
          <w:sz w:val="20"/>
          <w:szCs w:val="20"/>
          <w:color w:val="auto"/>
        </w:rPr>
      </w:pPr>
    </w:p>
    <w:p>
      <w:pPr>
        <w:ind w:right="180" w:firstLine="506"/>
        <w:spacing w:after="0" w:line="276" w:lineRule="auto"/>
        <w:rPr>
          <w:sz w:val="20"/>
          <w:szCs w:val="20"/>
          <w:color w:val="auto"/>
        </w:rPr>
      </w:pPr>
      <w:r>
        <w:rPr>
          <w:rFonts w:ascii="Arial" w:cs="Arial" w:eastAsia="Arial" w:hAnsi="Arial"/>
          <w:sz w:val="17"/>
          <w:szCs w:val="17"/>
          <w:color w:val="auto"/>
        </w:rPr>
        <w:t>In addition, for imported online games, the relevant license agreements for such games are regarded as technology import contracts and, accordingly, must be registered with the Ministry of Commerce. Shanghai EaseNet has registered the license agreements for StarCraft II: Wings of Liberty and World of Warcraft with the local office of the Ministry of Commerce. Such license agreements also need to be registered with the State Copyright Bureau, otherwise the licensee cannot remit licensing fees out of China to the foreign game licensor. Shanghai EaseNet has registered the license agreement for World of Warcraft and StarCraft II: Wings of Liberty and Hearthstone: Heroes of Warcraft with the State Copyright Bureau.</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publication of online games also requires approval from GAPP in accordance with the Provisional Rules for the Administration of Internet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Publishing jointly promulgated by GAPP and MII on June 27, 2002. Guangzhou NetEase has received such approval. In addition, in April 2007, GAPP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several other government authorities jointly promulgated the Notice Concerning the Protection of Minors’ Physical and Mental Well-being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Implementation of Anti-addiction System on Online Games (the “Anti-Addiction Notice”), which confirms the real-name verification scheme and anti-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addiction system standard made by GAPP in previous years and requires online game operators to develop and test their anti-addiction systems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2007 to July 2007, after which no online games can be registered or operated without an anti-addiction system in accordance with the Anti-Addiction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Notice. On July 1, 2011, GAPP and several other government authorities jointly issued the Notice Regarding the Initiation of Work on the Online Games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Real-Name Verification System to Prevent Online Gaming Addiction, which requires that online game operators be responsible for the data registration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of online game users, and that online game operators shall duly file unverified user identification information with the Ministry of 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Security’s National Citizen Identity Information Center, or NCIIC, which will be in charge of real-name verification for the national anti-addiction system.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 online game operators shall ensure that via the NCIIC real-name verification, users with fraudulent identification data shall be enrolled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operators’ anti-addiction systems. On July 25, 2014, SARFT issued the Notice Regarding the Implementation of the Anti-Addiction and Real-Name</w:t>
      </w:r>
    </w:p>
    <w:p>
      <w:pPr>
        <w:sectPr>
          <w:pgSz w:w="11900" w:h="16877" w:orient="portrait"/>
          <w:cols w:equalWidth="0" w:num="1">
            <w:col w:w="11420"/>
          </w:cols>
          <w:pgMar w:left="240" w:top="125" w:right="239" w:bottom="0" w:gutter="0" w:footer="0" w:header="0"/>
        </w:sectPr>
      </w:pPr>
    </w:p>
    <w:bookmarkStart w:id="35" w:name="page36"/>
    <w:bookmarkEnd w:id="35"/>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Verification System in Online Games, which requires online game operators to submit their real-name verification procedure for online games when applying for publication of online games. We have implemented our anti-addiction system and taken necessary measures to comply with these measures. Since their implementation, we have not experienced a significant negative impact from these measures on our business.</w:t>
      </w:r>
    </w:p>
    <w:p>
      <w:pPr>
        <w:spacing w:after="0" w:line="181" w:lineRule="exact"/>
        <w:rPr>
          <w:sz w:val="20"/>
          <w:szCs w:val="20"/>
          <w:color w:val="auto"/>
        </w:rPr>
      </w:pPr>
    </w:p>
    <w:p>
      <w:pPr>
        <w:ind w:right="60" w:firstLine="506"/>
        <w:spacing w:after="0" w:line="293" w:lineRule="auto"/>
        <w:rPr>
          <w:sz w:val="20"/>
          <w:szCs w:val="20"/>
          <w:color w:val="auto"/>
        </w:rPr>
      </w:pPr>
      <w:r>
        <w:rPr>
          <w:rFonts w:ascii="Arial" w:cs="Arial" w:eastAsia="Arial" w:hAnsi="Arial"/>
          <w:sz w:val="16"/>
          <w:szCs w:val="16"/>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MOC, SARFT and GAPP. According to this notice, GAPP shall be responsible for the examination and approval of those online games made available on the Internet, and once an online game is available on the Internet, it shall be solely and completely administrated by MOC. The notice further clarifies that GAPP shall be responsible for the examination and approval of the game publications which are authorized by overseas copyright owners to be made available on the Internet, and all other imported online games shall be examined and approved by MOC.</w:t>
      </w:r>
    </w:p>
    <w:p>
      <w:pPr>
        <w:spacing w:after="0" w:line="165" w:lineRule="exact"/>
        <w:rPr>
          <w:sz w:val="20"/>
          <w:szCs w:val="20"/>
          <w:color w:val="auto"/>
        </w:rPr>
      </w:pPr>
    </w:p>
    <w:p>
      <w:pPr>
        <w:ind w:right="20" w:firstLine="506"/>
        <w:spacing w:after="0" w:line="288" w:lineRule="auto"/>
        <w:rPr>
          <w:sz w:val="20"/>
          <w:szCs w:val="20"/>
          <w:color w:val="auto"/>
        </w:rPr>
      </w:pPr>
      <w:r>
        <w:rPr>
          <w:rFonts w:ascii="Arial" w:cs="Arial" w:eastAsia="Arial" w:hAnsi="Arial"/>
          <w:sz w:val="16"/>
          <w:szCs w:val="16"/>
          <w:color w:val="auto"/>
        </w:rPr>
        <w:t>On September 28, 2009, GAPP, the National Copyright Administration and the National Office of Combating Pornography and Illegal Publications jointly published the Notice on Further Strengthening Pre-examination and Pre-approval of Online Games and Administration of Imported Online Games Approval, or Circular 13. According to Circular 13, no entity should engage in the operation of online games without receiving an Internet Publishing License and the pre-approval from GAPP. Circular 13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Moreover, for online games which have been approved by GAPP, when the operational entity changes, or when new versions, expansion packs or new content is implemented, the operation entity shall once again undertake the same procedures for the examination and approval by GAPP of such changed operation entity, new versions, expansion packs or new content. Shanghai EaseNet has obtained GAPP approval for World of Warcraft, including its expansion packs, The Burning Crusade, Wrath of the Lich King, Cataclysm, Mists of Pandaria and Warlords of Draenor, and StarCraft II: Wings of Liberty, including its Heart of the Swarm expansion pack, and Hearthstone: Heroes of Warcraft.</w:t>
      </w:r>
    </w:p>
    <w:p>
      <w:pPr>
        <w:spacing w:after="0" w:line="169" w:lineRule="exact"/>
        <w:rPr>
          <w:sz w:val="20"/>
          <w:szCs w:val="20"/>
          <w:color w:val="auto"/>
        </w:rPr>
      </w:pPr>
    </w:p>
    <w:p>
      <w:pPr>
        <w:ind w:right="20" w:firstLine="506"/>
        <w:spacing w:after="0" w:line="287" w:lineRule="auto"/>
        <w:rPr>
          <w:sz w:val="20"/>
          <w:szCs w:val="20"/>
          <w:color w:val="auto"/>
        </w:rPr>
      </w:pPr>
      <w:r>
        <w:rPr>
          <w:rFonts w:ascii="Arial" w:cs="Arial" w:eastAsia="Arial" w:hAnsi="Arial"/>
          <w:sz w:val="16"/>
          <w:szCs w:val="16"/>
          <w:color w:val="auto"/>
        </w:rPr>
        <w:t>On June 3, 2010, the MOC issued a decree on Interim Measures for the Administration of Online Games, or the Online Games Measures, which became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Although many of these requirements reflect previously issued government regulations with which we already comply, certain new requirements may cause us to change the way we launch and operate our online games. For other details, see Item 3.D. “Risk Factors—Risks Related to the Telecommunications and Internet Industries in China—The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On July 30, 2010, the MOC promulgated the Notice on the Implementation of the Interim Measures for the Administration of Online Games, which provides details concerning the scope of online games, the review of online games content by the MOC, the administration of material changes in the content of online games and the implementation of real-name registration of online game users. In addition, the notice brings in the definition of joint operation of domestic online games and lays out the specific regulations for such joint operation.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04"/>
        <w:spacing w:after="0" w:line="257" w:lineRule="auto"/>
        <w:rPr>
          <w:sz w:val="20"/>
          <w:szCs w:val="20"/>
          <w:color w:val="auto"/>
        </w:rPr>
      </w:pPr>
      <w:r>
        <w:rPr>
          <w:rFonts w:ascii="Arial" w:cs="Arial" w:eastAsia="Arial" w:hAnsi="Arial"/>
          <w:sz w:val="18"/>
          <w:szCs w:val="18"/>
          <w:color w:val="auto"/>
        </w:rPr>
        <w:t>On January 15, 2011, the MOC and several other government authorities jointly issued the Notice on Implementation Program of Online Game Monitoring System of the Guardians of Minors, or the Monitoring System Notice, which requires online game operators to adopt various measures to maintain an interactive system for the protection of minors, through communication with the online game operators, to monitor and restrict online game activities by minors, including restriction of playtime or total suspension of the relevant gaming account. We have taken necessary measures in compliance of the Monitoring System Notice.</w:t>
      </w:r>
    </w:p>
    <w:p>
      <w:pPr>
        <w:spacing w:after="0" w:line="188" w:lineRule="exact"/>
        <w:rPr>
          <w:sz w:val="20"/>
          <w:szCs w:val="20"/>
          <w:color w:val="auto"/>
        </w:rPr>
      </w:pPr>
    </w:p>
    <w:p>
      <w:pPr>
        <w:ind w:right="20" w:firstLine="506"/>
        <w:spacing w:after="0" w:line="259" w:lineRule="auto"/>
        <w:rPr>
          <w:sz w:val="20"/>
          <w:szCs w:val="20"/>
          <w:color w:val="auto"/>
        </w:rPr>
      </w:pPr>
      <w:r>
        <w:rPr>
          <w:rFonts w:ascii="Arial" w:cs="Arial" w:eastAsia="Arial" w:hAnsi="Arial"/>
          <w:sz w:val="18"/>
          <w:szCs w:val="18"/>
          <w:color w:val="auto"/>
        </w:rPr>
        <w:t>On August 12, 2013, the MOC issued the Administrative Measures for Content Self-review of Internet Culture Operators, which requires internet culture operators to carry out prior self-review upon the products and services to be provided. In particular, such self-review should be conducted by staff who has obtained the Certificate for Content Review Personnel issued by MOC’s local branch at the provincial level. Our content review personnel have already obtained such certification.</w:t>
      </w:r>
    </w:p>
    <w:p>
      <w:pPr>
        <w:spacing w:after="0" w:line="187" w:lineRule="exact"/>
        <w:rPr>
          <w:sz w:val="20"/>
          <w:szCs w:val="20"/>
          <w:color w:val="auto"/>
        </w:rPr>
      </w:pPr>
    </w:p>
    <w:p>
      <w:pPr>
        <w:ind w:firstLine="506"/>
        <w:spacing w:after="0" w:line="254" w:lineRule="auto"/>
        <w:rPr>
          <w:sz w:val="20"/>
          <w:szCs w:val="20"/>
          <w:color w:val="auto"/>
        </w:rPr>
      </w:pPr>
      <w:r>
        <w:rPr>
          <w:rFonts w:ascii="Arial" w:cs="Arial" w:eastAsia="Arial" w:hAnsi="Arial"/>
          <w:sz w:val="18"/>
          <w:szCs w:val="18"/>
          <w:color w:val="auto"/>
        </w:rPr>
        <w:t>On February 18, 1994, the State Council promulgated the Rules of the People’s Republic of China for Protecting the Security of Computer Information Systems,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June 28, 1997 confirming that a license for the sale of security products for computer information systems must be obtained as a precondition for sales of such products. Guangzhou NetEase has developed a technology which is designed to protect the passwords of online game players and falls into the scope of security products for computer information systems which is subject to this license requirement. Guangzhou NetEase has obtained the above-mentioned license from the Ministry of Public Security.</w:t>
      </w:r>
    </w:p>
    <w:p>
      <w:pPr>
        <w:spacing w:after="0" w:line="192" w:lineRule="exact"/>
        <w:rPr>
          <w:sz w:val="20"/>
          <w:szCs w:val="20"/>
          <w:color w:val="auto"/>
        </w:rPr>
      </w:pPr>
    </w:p>
    <w:p>
      <w:pPr>
        <w:ind w:right="80" w:firstLine="506"/>
        <w:spacing w:after="0" w:line="257" w:lineRule="auto"/>
        <w:rPr>
          <w:sz w:val="20"/>
          <w:szCs w:val="20"/>
          <w:color w:val="auto"/>
        </w:rPr>
      </w:pPr>
      <w:r>
        <w:rPr>
          <w:rFonts w:ascii="Arial" w:cs="Arial" w:eastAsia="Arial" w:hAnsi="Arial"/>
          <w:sz w:val="18"/>
          <w:szCs w:val="18"/>
          <w:color w:val="auto"/>
        </w:rPr>
        <w:t>According to the Guidelines for the Filing for Recordation of Domestic Online Games issued by MOC in 2005, domestic online games operating in China must be filed for recordation with MOC within 30 days after they are put into operation. Our internally developed online games, including New Westward Journey Online II, Fantasy Westward Journey II, New Legend of Westward Journey, New Westward Journey Online III, Tianxia III, Heroes of Tang Dynasty II, New Fly For Fun, Legend of Fairy, Ghost II, DREAM, Soul of the Fighter, Kung Fu Master, Heroes of the Three Kingdoms, Dragon Sword and other causal games, have successfully finished the recordation process.</w:t>
      </w:r>
    </w:p>
    <w:p>
      <w:pPr>
        <w:spacing w:after="0" w:line="188" w:lineRule="exact"/>
        <w:rPr>
          <w:sz w:val="20"/>
          <w:szCs w:val="20"/>
          <w:color w:val="auto"/>
        </w:rPr>
      </w:pPr>
    </w:p>
    <w:p>
      <w:pPr>
        <w:ind w:right="220" w:firstLine="506"/>
        <w:spacing w:after="0" w:line="259" w:lineRule="auto"/>
        <w:rPr>
          <w:sz w:val="20"/>
          <w:szCs w:val="20"/>
          <w:color w:val="auto"/>
        </w:rPr>
      </w:pPr>
      <w:r>
        <w:rPr>
          <w:rFonts w:ascii="Arial" w:cs="Arial" w:eastAsia="Arial" w:hAnsi="Arial"/>
          <w:sz w:val="18"/>
          <w:szCs w:val="18"/>
          <w:color w:val="auto"/>
        </w:rPr>
        <w:t>The Regulations for the Administration of Audio and Video Products, which was released by the State Council on December 25, 2001 and further amended in March 2011, require that the publication, production, duplication, importation, wholesale, retail and renting of the audio and video products are subject to a license issued by competent authorities. Guangzhou NetEase has obtained such license from Guangzhou Municipal Administration of Culture, Radio, Film, TV, Press and Publication.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225" w:lineRule="exact"/>
        <w:rPr>
          <w:sz w:val="20"/>
          <w:szCs w:val="20"/>
          <w:color w:val="auto"/>
        </w:rPr>
      </w:pPr>
    </w:p>
    <w:p>
      <w:pPr>
        <w:jc w:val="both"/>
        <w:ind w:right="140" w:firstLine="506"/>
        <w:spacing w:after="0" w:line="312" w:lineRule="auto"/>
        <w:rPr>
          <w:sz w:val="20"/>
          <w:szCs w:val="20"/>
          <w:color w:val="auto"/>
        </w:rPr>
      </w:pPr>
      <w:r>
        <w:rPr>
          <w:rFonts w:ascii="Arial" w:cs="Arial" w:eastAsia="Arial" w:hAnsi="Arial"/>
          <w:sz w:val="16"/>
          <w:szCs w:val="16"/>
          <w:color w:val="auto"/>
        </w:rPr>
        <w:t>The Regulations for the Administration of Advertising and its Detailed Implementation Rules were both promulgated by the State Council and SAIC, which took effect on December 1, 1987 and January 1, 2005, respectively. According to these regulations</w:t>
      </w:r>
      <w:r>
        <w:rPr>
          <w:rFonts w:ascii="Arial" w:cs="Arial" w:eastAsia="Arial" w:hAnsi="Arial"/>
          <w:sz w:val="16"/>
          <w:szCs w:val="16"/>
          <w:b w:val="1"/>
          <w:bCs w:val="1"/>
          <w:color w:val="auto"/>
        </w:rPr>
        <w:t>,</w:t>
      </w:r>
      <w:r>
        <w:rPr>
          <w:rFonts w:ascii="Arial" w:cs="Arial" w:eastAsia="Arial" w:hAnsi="Arial"/>
          <w:sz w:val="16"/>
          <w:szCs w:val="16"/>
          <w:color w:val="auto"/>
        </w:rPr>
        <w:t xml:space="preserve"> websites engaged in advertising must apply for a business license to conduct such business. In compliance with such regulations, Guangyitong Advertising, which operates our online advertising business</w:t>
      </w:r>
    </w:p>
    <w:p>
      <w:pPr>
        <w:sectPr>
          <w:pgSz w:w="11900" w:h="16885" w:orient="portrait"/>
          <w:cols w:equalWidth="0" w:num="1">
            <w:col w:w="11420"/>
          </w:cols>
          <w:pgMar w:left="240" w:top="125" w:right="239" w:bottom="0" w:gutter="0" w:footer="0" w:header="0"/>
        </w:sectPr>
      </w:pPr>
    </w:p>
    <w:bookmarkStart w:id="36" w:name="page37"/>
    <w:bookmarkEnd w:id="36"/>
    <w:p>
      <w:pPr>
        <w:ind w:right="480"/>
        <w:spacing w:after="0" w:line="277" w:lineRule="auto"/>
        <w:rPr>
          <w:sz w:val="20"/>
          <w:szCs w:val="20"/>
          <w:color w:val="auto"/>
        </w:rPr>
      </w:pPr>
      <w:r>
        <w:rPr>
          <w:rFonts w:ascii="Arial" w:cs="Arial" w:eastAsia="Arial" w:hAnsi="Arial"/>
          <w:sz w:val="18"/>
          <w:szCs w:val="18"/>
          <w:color w:val="auto"/>
        </w:rPr>
        <w:t>through a series of agreements with Guangzhou NetEase, and Guangzhou NetEase have obtained a business license to carry out the design, production, agency and release of advertisements.</w:t>
      </w:r>
    </w:p>
    <w:p>
      <w:pPr>
        <w:spacing w:after="0" w:line="170" w:lineRule="exact"/>
        <w:rPr>
          <w:sz w:val="20"/>
          <w:szCs w:val="20"/>
          <w:color w:val="auto"/>
        </w:rPr>
      </w:pPr>
    </w:p>
    <w:p>
      <w:pPr>
        <w:ind w:right="140" w:firstLine="510"/>
        <w:spacing w:after="0" w:line="297" w:lineRule="auto"/>
        <w:rPr>
          <w:sz w:val="20"/>
          <w:szCs w:val="20"/>
          <w:color w:val="auto"/>
        </w:rPr>
      </w:pPr>
      <w:r>
        <w:rPr>
          <w:rFonts w:ascii="Arial" w:cs="Arial" w:eastAsia="Arial" w:hAnsi="Arial"/>
          <w:sz w:val="16"/>
          <w:szCs w:val="16"/>
          <w:color w:val="auto"/>
        </w:rPr>
        <w:t>On February 9, 2012, SAIC and several other government authorities jointly issued the Rules on Review of Advertisement Release by Public Media, or the Advertisement Review Rule, which, among other things, states that public media (including Internet information service providers) shall have advertisement reviewers, who shall participate in trainings in relation to advertisement laws, regulations and business, and after passing the training should perform works including reviewing of advertisements to be released and management of advertisement review archives. In compliance with the Advertisement Review Rule, several employees of Guangzhou NetEase have obtained the Certificate for Advertisement Reviewer.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Lottery Services</w:t>
      </w:r>
    </w:p>
    <w:p>
      <w:pPr>
        <w:spacing w:after="0" w:line="225" w:lineRule="exact"/>
        <w:rPr>
          <w:sz w:val="20"/>
          <w:szCs w:val="20"/>
          <w:color w:val="auto"/>
        </w:rPr>
      </w:pPr>
    </w:p>
    <w:p>
      <w:pPr>
        <w:ind w:firstLine="506"/>
        <w:spacing w:after="0" w:line="268" w:lineRule="auto"/>
        <w:rPr>
          <w:sz w:val="20"/>
          <w:szCs w:val="20"/>
          <w:color w:val="auto"/>
        </w:rPr>
      </w:pPr>
      <w:r>
        <w:rPr>
          <w:rFonts w:ascii="Arial" w:cs="Arial" w:eastAsia="Arial" w:hAnsi="Arial"/>
          <w:sz w:val="17"/>
          <w:szCs w:val="17"/>
          <w:color w:val="auto"/>
        </w:rPr>
        <w:t>The principal rules and regulations currently in effect and applicable to online lottery services include the Regulation on Administration of Lottery, promulgated by the State Council on May 4, 2009 and effective as of July 1, 2009, and the Tentative Administration Measures on Internet Lottery Sale, promulgated by the MOF on September 26, 2010, and effective upon its promulgation. On January 18, 2012, the MOF, the PRC Ministry of Civil Affairs and the State General Administration of Sports jointly promulgated the Lottery Implementation Rules, which became effective on March 1, 2012. In December 2012, the MOF issued the Lottery Distribution and Sale Administration Measures, which became effective on January 1, 2013, and the Tentative Administrative Measures on Telephone Lottery Sale, which became effective on April 1, 2014. On January 15, 2015, the Lottery Self-Inspection Notice was jointly issued by the MOF, the PRC Ministry of Civil Affairs and the State General Administration of Sport. In addition, on April 3, 2015, the MOF, the PRC Ministry of Public Security, the SAIC, the MII, the PRC Ministry of Civil Affairs, the People’s Bank of China, the State General Administration of Sport and the China Banking Regulatory Commission jointly issued Announcement No. 18, which 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However, it currently remains unclear if we need to obtain approval from the MOF with respect to our provision of e-commerce services related to third-party lottery products. For more details, see Item 3.D. “Risk Factors— Risks Related to the Telecommunications and Internet Industries in China—We may be required under recently issued rules and regulations or by relevant government authorities to obtain governmental authorizations and approvals for providing e-commerce services related to third-party lottery products, which, if unattainable, may adversely affect our e-commerce business.”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29" w:lineRule="exact"/>
        <w:rPr>
          <w:sz w:val="20"/>
          <w:szCs w:val="20"/>
          <w:color w:val="auto"/>
        </w:rPr>
      </w:pPr>
    </w:p>
    <w:p>
      <w:pPr>
        <w:ind w:right="60" w:firstLine="506"/>
        <w:spacing w:after="0" w:line="255" w:lineRule="auto"/>
        <w:rPr>
          <w:sz w:val="20"/>
          <w:szCs w:val="20"/>
          <w:color w:val="auto"/>
        </w:rPr>
      </w:pPr>
      <w:r>
        <w:rPr>
          <w:rFonts w:ascii="Arial" w:cs="Arial" w:eastAsia="Arial" w:hAnsi="Arial"/>
          <w:sz w:val="18"/>
          <w:szCs w:val="18"/>
          <w:color w:val="auto"/>
        </w:rPr>
        <w:t>We rely on a combination of copyright, trademark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registered a number of domain names, including:</w:t>
      </w:r>
    </w:p>
    <w:p>
      <w:pPr>
        <w:spacing w:after="0" w:line="225" w:lineRule="exact"/>
        <w:rPr>
          <w:sz w:val="20"/>
          <w:szCs w:val="20"/>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www.netease.com;</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www.163.com;</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www.yeah.net;</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www.126.com;</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www.lofter.com;</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www.youdao.com;</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www.nease.net;</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www.188.com;</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www.lede.com; and</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www.kaola.com.</w:t>
      </w:r>
    </w:p>
    <w:p>
      <w:pPr>
        <w:spacing w:after="0" w:line="225" w:lineRule="exact"/>
        <w:rPr>
          <w:sz w:val="20"/>
          <w:szCs w:val="20"/>
          <w:color w:val="auto"/>
        </w:rPr>
      </w:pPr>
    </w:p>
    <w:p>
      <w:pPr>
        <w:ind w:right="20" w:firstLine="506"/>
        <w:spacing w:after="0" w:line="273" w:lineRule="auto"/>
        <w:rPr>
          <w:sz w:val="20"/>
          <w:szCs w:val="20"/>
          <w:color w:val="auto"/>
        </w:rPr>
      </w:pPr>
      <w:r>
        <w:rPr>
          <w:rFonts w:ascii="Arial" w:cs="Arial" w:eastAsia="Arial" w:hAnsi="Arial"/>
          <w:sz w:val="17"/>
          <w:szCs w:val="17"/>
          <w:color w:val="auto"/>
        </w:rPr>
        <w:t>Guangzhou NetEase and NetEase Beijing have successfully registered numerous trademarks with China’s Trademark Office, including marks incorporating the words “NetEase” and “Yeah” in English and for marks for “NetEase” as written in Chinese in traditional and simplified Chinese characters. In addition, they have registered trademarks involving Chinese characters and phrases that have meanings relating to our Web pages, products and services, including our dating and friends matching services, chat services, online gaming and our search engine. We have also registered a number of trademarks in Hong Kong incorporating the words “NetEase” in English and the marks for “NetEase” as written in Chinese in traditional and simplified Chinese characters. In addition, we have also filed and registered the marks for “NetEase” in English in the United States.</w:t>
      </w:r>
    </w:p>
    <w:p>
      <w:pPr>
        <w:spacing w:after="0" w:line="178" w:lineRule="exact"/>
        <w:rPr>
          <w:sz w:val="20"/>
          <w:szCs w:val="20"/>
          <w:color w:val="auto"/>
        </w:rPr>
      </w:pPr>
    </w:p>
    <w:p>
      <w:pPr>
        <w:ind w:right="60" w:firstLine="506"/>
        <w:spacing w:after="0" w:line="297" w:lineRule="auto"/>
        <w:rPr>
          <w:sz w:val="20"/>
          <w:szCs w:val="20"/>
          <w:color w:val="auto"/>
        </w:rPr>
      </w:pPr>
      <w:r>
        <w:rPr>
          <w:rFonts w:ascii="Arial" w:cs="Arial" w:eastAsia="Arial" w:hAnsi="Arial"/>
          <w:sz w:val="16"/>
          <w:szCs w:val="16"/>
          <w:color w:val="auto"/>
        </w:rPr>
        <w:t>In addition, we have registered our various self-developed games, including New Westward Journey Online II (together with its mobile version), Fantasy Westward Journey II, Heroes of Tang Dynasty II, New Westward Journey Online III, New Legend of Westward Journey, Tianxia III, Ghost II, Legend of Fairy, Legend of Datang, Soul of the Fighter, Kung Fu Master, Dragon Sword, Heroes of Three Kingdoms and iTown, and other online products, including Wangyibao (our online payment platform), Yinxiangpai, e-mail, photo album, Cloud Music, EaseRead, Netease News App, Yichat, Caipiao, Bobo, Mailbox Master and online shopping mall, with the State Copyright Bureau of China. Moreover, we have filed certain patent applications with the State</w:t>
      </w:r>
    </w:p>
    <w:p>
      <w:pPr>
        <w:sectPr>
          <w:pgSz w:w="11900" w:h="16838" w:orient="portrait"/>
          <w:cols w:equalWidth="0" w:num="1">
            <w:col w:w="11380"/>
          </w:cols>
          <w:pgMar w:left="240" w:top="125" w:right="279" w:bottom="0" w:gutter="0" w:footer="0" w:header="0"/>
        </w:sectPr>
      </w:pPr>
    </w:p>
    <w:bookmarkStart w:id="37" w:name="page38"/>
    <w:bookmarkEnd w:id="37"/>
    <w:p>
      <w:pPr>
        <w:ind w:right="140"/>
        <w:spacing w:after="0" w:line="342" w:lineRule="auto"/>
        <w:rPr>
          <w:sz w:val="20"/>
          <w:szCs w:val="20"/>
          <w:color w:val="auto"/>
        </w:rPr>
      </w:pPr>
      <w:r>
        <w:rPr>
          <w:rFonts w:ascii="Arial" w:cs="Arial" w:eastAsia="Arial" w:hAnsi="Arial"/>
          <w:sz w:val="16"/>
          <w:szCs w:val="16"/>
          <w:color w:val="auto"/>
        </w:rPr>
        <w:t>Intellectual Property Office of China and have obtained Certificate of Design Patent for the Password Protection Device and Certificates of Invention Patent for the Password Protection Device and certain other technologies related to our search engine and e-mail from the State Intellectual Property Office.</w:t>
      </w:r>
    </w:p>
    <w:p>
      <w:pPr>
        <w:spacing w:after="0" w:line="124" w:lineRule="exact"/>
        <w:rPr>
          <w:sz w:val="20"/>
          <w:szCs w:val="20"/>
          <w:color w:val="auto"/>
        </w:rPr>
      </w:pPr>
    </w:p>
    <w:p>
      <w:pPr>
        <w:ind w:right="200" w:firstLine="506"/>
        <w:spacing w:after="0" w:line="279" w:lineRule="auto"/>
        <w:rPr>
          <w:sz w:val="20"/>
          <w:szCs w:val="20"/>
          <w:color w:val="auto"/>
        </w:rPr>
      </w:pPr>
      <w:r>
        <w:rPr>
          <w:rFonts w:ascii="Arial" w:cs="Arial" w:eastAsia="Arial" w:hAnsi="Arial"/>
          <w:sz w:val="17"/>
          <w:szCs w:val="17"/>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websites and the technology that enables on-line community, personalization and e-commerce services on those sites. We license content from various freelance providers and other content providers.</w:t>
      </w:r>
    </w:p>
    <w:p>
      <w:pPr>
        <w:spacing w:after="0" w:line="171" w:lineRule="exact"/>
        <w:rPr>
          <w:sz w:val="20"/>
          <w:szCs w:val="20"/>
          <w:color w:val="auto"/>
        </w:rPr>
      </w:pPr>
    </w:p>
    <w:p>
      <w:pPr>
        <w:ind w:firstLine="506"/>
        <w:spacing w:after="0" w:line="273" w:lineRule="auto"/>
        <w:rPr>
          <w:sz w:val="20"/>
          <w:szCs w:val="20"/>
          <w:color w:val="auto"/>
        </w:rPr>
      </w:pPr>
      <w:r>
        <w:rPr>
          <w:rFonts w:ascii="Arial" w:cs="Arial" w:eastAsia="Arial" w:hAnsi="Arial"/>
          <w:sz w:val="17"/>
          <w:szCs w:val="17"/>
          <w:color w:val="auto"/>
        </w:rPr>
        <w:t>Many parties are actively developing community, online game, e-commerce, search and related Web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and online direct marketing. Disputes over rights to these technologies are likely to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Our organizational structure is set forth above under “— Our Organizational Structure.”</w:t>
      </w:r>
    </w:p>
    <w:p>
      <w:pPr>
        <w:spacing w:after="0" w:line="221" w:lineRule="exact"/>
        <w:rPr>
          <w:rFonts w:ascii="Arial" w:cs="Arial" w:eastAsia="Arial" w:hAnsi="Arial"/>
          <w:sz w:val="18"/>
          <w:szCs w:val="18"/>
          <w:b w:val="1"/>
          <w:bCs w:val="1"/>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29" w:lineRule="exact"/>
        <w:rPr>
          <w:sz w:val="20"/>
          <w:szCs w:val="20"/>
          <w:color w:val="auto"/>
        </w:rPr>
      </w:pPr>
    </w:p>
    <w:p>
      <w:pPr>
        <w:ind w:right="80" w:firstLine="506"/>
        <w:spacing w:after="0" w:line="259" w:lineRule="auto"/>
        <w:rPr>
          <w:sz w:val="20"/>
          <w:szCs w:val="20"/>
          <w:color w:val="auto"/>
        </w:rPr>
      </w:pPr>
      <w:r>
        <w:rPr>
          <w:rFonts w:ascii="Arial" w:cs="Arial" w:eastAsia="Arial" w:hAnsi="Arial"/>
          <w:sz w:val="18"/>
          <w:szCs w:val="18"/>
          <w:color w:val="auto"/>
        </w:rPr>
        <w:t>Our principal executive offices are currently located at 26/F, SP Tower D, Tsinghua Science Park Building 8, No.1 Zhongguancun East Road, Haidian District, Beijing, People’s Republic of China 100084. As of December 31, 2014, we leased office facilities with a total effective annual rent of RMB77.7 million (US$12.5 million), including management fees, and an aggregate of approximately 55,297 square meters of space at properties in Beijing, Shanghai, Guangzhou and Hangzhou.</w:t>
      </w:r>
    </w:p>
    <w:p>
      <w:pPr>
        <w:spacing w:after="0" w:line="187" w:lineRule="exact"/>
        <w:rPr>
          <w:sz w:val="20"/>
          <w:szCs w:val="20"/>
          <w:color w:val="auto"/>
        </w:rPr>
      </w:pPr>
    </w:p>
    <w:p>
      <w:pPr>
        <w:jc w:val="both"/>
        <w:ind w:right="220" w:firstLine="506"/>
        <w:spacing w:after="0" w:line="264" w:lineRule="auto"/>
        <w:rPr>
          <w:sz w:val="20"/>
          <w:szCs w:val="20"/>
          <w:color w:val="auto"/>
        </w:rPr>
      </w:pPr>
      <w:r>
        <w:rPr>
          <w:rFonts w:ascii="Arial" w:cs="Arial" w:eastAsia="Arial" w:hAnsi="Arial"/>
          <w:sz w:val="18"/>
          <w:szCs w:val="18"/>
          <w:color w:val="auto"/>
        </w:rPr>
        <w:t>In addition, we also own and occupy a building in Guangzhou with a total floor area of 20,000 square meters, in which our online game developers, sales and marketing, technology and certain management as well as administrative support functions are currently located, and a research and development center in Hangzhou, China with a total floor area of 56,160 square meters.</w:t>
      </w:r>
    </w:p>
    <w:p>
      <w:pPr>
        <w:spacing w:after="0" w:line="181" w:lineRule="exact"/>
        <w:rPr>
          <w:sz w:val="20"/>
          <w:szCs w:val="20"/>
          <w:color w:val="auto"/>
        </w:rPr>
      </w:pPr>
    </w:p>
    <w:p>
      <w:pPr>
        <w:ind w:right="160" w:firstLine="506"/>
        <w:spacing w:after="0" w:line="286" w:lineRule="auto"/>
        <w:rPr>
          <w:sz w:val="20"/>
          <w:szCs w:val="20"/>
          <w:color w:val="auto"/>
        </w:rPr>
      </w:pPr>
      <w:r>
        <w:rPr>
          <w:rFonts w:ascii="Arial" w:cs="Arial" w:eastAsia="Arial" w:hAnsi="Arial"/>
          <w:sz w:val="17"/>
          <w:szCs w:val="17"/>
          <w:color w:val="auto"/>
        </w:rPr>
        <w:t>We are in the process of constructing three new office buildings in Beijing, Hangzhou and Guangzhou on land with an area of approximately 25,400, 76,000 and 37,000 square meters, respectively. As of December 31, 2014, we had incurred construction in progress costs of RMB570.0 million (US$91.9 million) for these new office buildings, which primarily comprise costs for obtaining land use rights and building construction costs.</w:t>
      </w:r>
    </w:p>
    <w:p>
      <w:pPr>
        <w:spacing w:after="0" w:line="166" w:lineRule="exact"/>
        <w:rPr>
          <w:sz w:val="20"/>
          <w:szCs w:val="20"/>
          <w:color w:val="auto"/>
        </w:rPr>
      </w:pPr>
    </w:p>
    <w:p>
      <w:pPr>
        <w:ind w:right="420" w:firstLine="506"/>
        <w:spacing w:after="0" w:line="277" w:lineRule="auto"/>
        <w:rPr>
          <w:sz w:val="20"/>
          <w:szCs w:val="20"/>
          <w:color w:val="auto"/>
        </w:rPr>
      </w:pPr>
      <w:r>
        <w:rPr>
          <w:rFonts w:ascii="Arial" w:cs="Arial" w:eastAsia="Arial" w:hAnsi="Arial"/>
          <w:sz w:val="18"/>
          <w:szCs w:val="18"/>
          <w:color w:val="auto"/>
        </w:rPr>
        <w:t>We continue to assess our needs with respect to office space and may, in the future, vacate or add additional facilities. We believe that our current facilities are adequate for our needs in the immediate and foreseeable future.</w:t>
      </w:r>
    </w:p>
    <w:p>
      <w:pPr>
        <w:spacing w:after="0" w:line="170" w:lineRule="exact"/>
        <w:rPr>
          <w:sz w:val="20"/>
          <w:szCs w:val="20"/>
          <w:color w:val="auto"/>
        </w:rPr>
      </w:pPr>
    </w:p>
    <w:p>
      <w:pPr>
        <w:ind w:right="20" w:firstLine="506"/>
        <w:spacing w:after="0" w:line="312" w:lineRule="auto"/>
        <w:rPr>
          <w:sz w:val="20"/>
          <w:szCs w:val="20"/>
          <w:color w:val="auto"/>
        </w:rPr>
      </w:pPr>
      <w:r>
        <w:rPr>
          <w:rFonts w:ascii="Arial" w:cs="Arial" w:eastAsia="Arial" w:hAnsi="Arial"/>
          <w:sz w:val="16"/>
          <w:szCs w:val="16"/>
          <w:color w:val="auto"/>
        </w:rPr>
        <w:t>As of December 31, 2014, we leased dedicated lines from various affiliates of China Unicom, China Telecom and CERNET. We lease such capacity pursuant to short term contracts. Our server custody fees were approximately RMB307.5 million (US$49.6 million) for the year ended December 31, 2014, of which approximately 32% was related to the operations of World of Warcraft, the StarCraft II series and Hearthstone: Heroes of Warcraft.</w:t>
      </w:r>
    </w:p>
    <w:p>
      <w:pPr>
        <w:spacing w:after="0" w:line="14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29" w:lineRule="exact"/>
        <w:rPr>
          <w:sz w:val="20"/>
          <w:szCs w:val="20"/>
          <w:color w:val="auto"/>
        </w:rPr>
      </w:pPr>
    </w:p>
    <w:p>
      <w:pPr>
        <w:ind w:firstLine="506"/>
        <w:spacing w:after="0" w:line="271" w:lineRule="auto"/>
        <w:rPr>
          <w:sz w:val="20"/>
          <w:szCs w:val="20"/>
          <w:color w:val="auto"/>
        </w:rPr>
      </w:pPr>
      <w:r>
        <w:rPr>
          <w:rFonts w:ascii="Arial" w:cs="Arial" w:eastAsia="Arial" w:hAnsi="Arial"/>
          <w:sz w:val="17"/>
          <w:szCs w:val="17"/>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75" w:lineRule="exact"/>
        <w:rPr>
          <w:sz w:val="20"/>
          <w:szCs w:val="20"/>
          <w:color w:val="auto"/>
        </w:rPr>
      </w:pPr>
    </w:p>
    <w:p>
      <w:pPr>
        <w:ind w:left="520" w:right="8800" w:hanging="512"/>
        <w:spacing w:after="0" w:line="503" w:lineRule="auto"/>
        <w:tabs>
          <w:tab w:leader="none" w:pos="671"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ind w:right="180" w:firstLine="506"/>
        <w:spacing w:after="0" w:line="259" w:lineRule="auto"/>
        <w:rPr>
          <w:sz w:val="20"/>
          <w:szCs w:val="20"/>
          <w:color w:val="auto"/>
        </w:rPr>
      </w:pPr>
      <w:r>
        <w:rPr>
          <w:rFonts w:ascii="Arial" w:cs="Arial" w:eastAsia="Arial" w:hAnsi="Arial"/>
          <w:sz w:val="18"/>
          <w:szCs w:val="18"/>
          <w:color w:val="auto"/>
        </w:rPr>
        <w:t>NetEase is a leading Internet technology company in China. Our innovative online games, communities and personalized premium services, which allow registered users to interact with other community members, have established a large and stable user base for the NetEase websites which are operated by our affiliate. As of December 31, 2014, we had approximately 708 million accumulated registered accounts for our in-house MMORPGs and a total of approximately 3.0 billion accumulated registered accounts for our other online services.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38" w:name="page39"/>
    <w:bookmarkEnd w:id="38"/>
    <w:p>
      <w:pPr>
        <w:jc w:val="both"/>
        <w:ind w:right="100" w:firstLine="506"/>
        <w:spacing w:after="0" w:line="264" w:lineRule="auto"/>
        <w:rPr>
          <w:sz w:val="20"/>
          <w:szCs w:val="20"/>
          <w:color w:val="auto"/>
        </w:rPr>
      </w:pPr>
      <w:r>
        <w:rPr>
          <w:rFonts w:ascii="Arial" w:cs="Arial" w:eastAsia="Arial" w:hAnsi="Arial"/>
          <w:sz w:val="18"/>
          <w:szCs w:val="18"/>
          <w:color w:val="auto"/>
        </w:rPr>
        <w:t>For the year ended December 31, 2014, we continued to develop our online games and advertising business. We also provide e-mail, e-commerce and other fee-based premium services. In addition, starting in August 2008, Blizzard agreed to license certain online games to Shanghai EaseNet for operation in the PRC.</w:t>
      </w:r>
    </w:p>
    <w:p>
      <w:pPr>
        <w:spacing w:after="0" w:line="181" w:lineRule="exact"/>
        <w:rPr>
          <w:sz w:val="20"/>
          <w:szCs w:val="20"/>
          <w:color w:val="auto"/>
        </w:rPr>
      </w:pPr>
    </w:p>
    <w:p>
      <w:pPr>
        <w:ind w:right="140" w:firstLine="506"/>
        <w:spacing w:after="0" w:line="264" w:lineRule="auto"/>
        <w:rPr>
          <w:sz w:val="20"/>
          <w:szCs w:val="20"/>
          <w:color w:val="auto"/>
        </w:rPr>
      </w:pPr>
      <w:r>
        <w:rPr>
          <w:rFonts w:ascii="Arial" w:cs="Arial" w:eastAsia="Arial" w:hAnsi="Arial"/>
          <w:sz w:val="18"/>
          <w:szCs w:val="18"/>
          <w:color w:val="auto"/>
        </w:rPr>
        <w:t>We achieved a net profit of RMB4,756.6 million (US$766.6 million) for 2014 and generated positive operating cash flows of RMB5,873.0 million (US$946.6 million) during the year. We recorded retained earnings of RMB14,309.6 million, RMB18,509.2 million and RMB21,224.0 million (US$3,420.7 million) as of December 31, 2012, 2013 and 2014, respectively.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jc w:val="both"/>
        <w:ind w:right="180" w:firstLine="506"/>
        <w:spacing w:after="0" w:line="259" w:lineRule="auto"/>
        <w:rPr>
          <w:sz w:val="20"/>
          <w:szCs w:val="20"/>
          <w:color w:val="auto"/>
        </w:rPr>
      </w:pPr>
      <w:r>
        <w:rPr>
          <w:rFonts w:ascii="Arial" w:cs="Arial" w:eastAsia="Arial" w:hAnsi="Arial"/>
          <w:sz w:val="18"/>
          <w:szCs w:val="18"/>
          <w:color w:val="auto"/>
        </w:rPr>
        <w:t>NetEase.com, Inc. was incorporated in the Cayman Islands on July 6, 1999 as an Internet technology company in China. We changed our name from “NetEase.com, Inc.” to “NetEase, Inc.” with effect from March 29, 2012 after its approval at our extraordinary general meeting of shareholders held on the same day. We believe that the change of name would more accurately reflect our business operations which encompass an increasingly diversified range of entertainment, community, e-commerce and other services.</w:t>
      </w:r>
    </w:p>
    <w:p>
      <w:pPr>
        <w:spacing w:after="0" w:line="187" w:lineRule="exact"/>
        <w:rPr>
          <w:sz w:val="20"/>
          <w:szCs w:val="20"/>
          <w:color w:val="auto"/>
        </w:rPr>
      </w:pPr>
    </w:p>
    <w:p>
      <w:pPr>
        <w:ind w:right="380" w:firstLine="506"/>
        <w:spacing w:after="0" w:line="273" w:lineRule="auto"/>
        <w:rPr>
          <w:sz w:val="20"/>
          <w:szCs w:val="20"/>
          <w:color w:val="auto"/>
        </w:rPr>
      </w:pPr>
      <w:r>
        <w:rPr>
          <w:rFonts w:ascii="Arial" w:cs="Arial" w:eastAsia="Arial" w:hAnsi="Arial"/>
          <w:sz w:val="17"/>
          <w:szCs w:val="17"/>
          <w:color w:val="auto"/>
        </w:rPr>
        <w:t>In 2007, we established two intermediate holding companies, namely NetEase (Hong Kong) Limited, or NetEase Hong Kong, and Hong Kong NetEase Interactive Entertainment Limited, or Hong Kong NetEase Interactive. Guangzhou Interactive and NetEase Hangzhou, which we established in October 2002 and June 2006, respectively, became wholly owned subsidiaries of Hong Kong NetEase Interactive in December 2007 and January 2008, respectively. We also established Hangzhou Langhe Technology Co., Ltd., or Hangzhou Langhe, as a wholly owned subsidiary of Hong Kong NetEase Interactive in July 2009. NetEase Beijing, Boguan and Youdao Information, which we established in August 1999, December 2003, and March 2006, respectively, became subsidiaries of NetEase Hong Kong in December 2007.</w:t>
      </w:r>
    </w:p>
    <w:p>
      <w:pPr>
        <w:spacing w:after="0" w:line="178" w:lineRule="exact"/>
        <w:rPr>
          <w:sz w:val="20"/>
          <w:szCs w:val="20"/>
          <w:color w:val="auto"/>
        </w:rPr>
      </w:pPr>
    </w:p>
    <w:p>
      <w:pPr>
        <w:ind w:firstLine="506"/>
        <w:spacing w:after="0" w:line="255" w:lineRule="auto"/>
        <w:rPr>
          <w:sz w:val="20"/>
          <w:szCs w:val="20"/>
          <w:color w:val="auto"/>
        </w:rPr>
      </w:pPr>
      <w:r>
        <w:rPr>
          <w:rFonts w:ascii="Arial" w:cs="Arial" w:eastAsia="Arial" w:hAnsi="Arial"/>
          <w:sz w:val="18"/>
          <w:szCs w:val="18"/>
          <w:color w:val="auto"/>
        </w:rPr>
        <w:t>We established Lede Inc. (previously named Ujia.com, Inc.), Lede Hong Kong (previously named Ujia (Hong Kong) Limited) and Lede Technology in the second half of 2011. Lede Technology now operates our e-commerce business related to third-party lottery and insurance products. We established NetEase Media, Inc., or Media Cayman, NetEase Media (Hong Kong) Limited, or Media Hong Kong, and its PRC subsidiary, NetEase Media Technology (Beijing) Co., Ltd., or Media Beijing, in 2012. Media Beijing provides technical support and consulting services to Guangyitong Advertising to operate our portal business. In February 2013, we completed the merger of Guangzhou Interactive and Guangzhou Information, which we had established in June 2008, into Boguan, with Boguan as the surviving entity.</w:t>
      </w:r>
    </w:p>
    <w:p>
      <w:pPr>
        <w:spacing w:after="0" w:line="193" w:lineRule="exact"/>
        <w:rPr>
          <w:sz w:val="20"/>
          <w:szCs w:val="20"/>
          <w:color w:val="auto"/>
        </w:rPr>
      </w:pPr>
    </w:p>
    <w:p>
      <w:pPr>
        <w:ind w:right="120" w:firstLine="506"/>
        <w:spacing w:after="0" w:line="287" w:lineRule="auto"/>
        <w:rPr>
          <w:sz w:val="20"/>
          <w:szCs w:val="20"/>
          <w:color w:val="auto"/>
        </w:rPr>
      </w:pPr>
      <w:r>
        <w:rPr>
          <w:rFonts w:ascii="Arial" w:cs="Arial" w:eastAsia="Arial" w:hAnsi="Arial"/>
          <w:sz w:val="16"/>
          <w:szCs w:val="16"/>
          <w:color w:val="auto"/>
        </w:rPr>
        <w:t>NetEase, Inc. conducts its business in China through its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e-commerce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Guangyitong Advertising, Shanghai EaseNet and certain other affiliated companies. These affiliated companies are considered “variable interest entities” for accounting purposes, and are referred to collectively in this section as “VIEs.” The revenue earned by the VIEs largely flows through to NetEase, Inc. and its subsidiaries pursuant to such contractual arrangements. Based on these agreements, NetEase Beijing, Media Beijing, NetEase Hangzhou, Boguan, Hangzhou Langhe and Lede Technology provide technical consulting and related services to the VIEs. In addition, Guangzhou NetEase has a majority-owned subsidiary, Youdao Computer (a search-related business operator), and a wholly-owned subsidiary, Wangyibao (the operator of our Wangyibao online payment platform). Please also see Item 4.B. “Business Overview—Our Organizational Structure.”</w:t>
      </w:r>
    </w:p>
    <w:p>
      <w:pPr>
        <w:spacing w:after="0" w:line="173" w:lineRule="exact"/>
        <w:rPr>
          <w:sz w:val="20"/>
          <w:szCs w:val="20"/>
          <w:color w:val="auto"/>
        </w:rPr>
      </w:pPr>
    </w:p>
    <w:p>
      <w:pPr>
        <w:ind w:right="40" w:firstLine="506"/>
        <w:spacing w:after="0" w:line="271" w:lineRule="auto"/>
        <w:rPr>
          <w:sz w:val="20"/>
          <w:szCs w:val="20"/>
          <w:color w:val="auto"/>
        </w:rPr>
      </w:pPr>
      <w:r>
        <w:rPr>
          <w:rFonts w:ascii="Arial" w:cs="Arial" w:eastAsia="Arial" w:hAnsi="Arial"/>
          <w:sz w:val="17"/>
          <w:szCs w:val="17"/>
          <w:color w:val="auto"/>
        </w:rPr>
        <w:t>As of December 31, 2014, the total assets of all the consolidated VIEs of our company were RMB3.4 billion (US$0.6 billion), mainly comprising cash and cash equivalents, time deposits, accounts receivable, prepayments and other current assets and fixed assets. As of December 31, 2014, the total liabilities of the consolidated VIEs were RMB3.3 billion (US$0.5 billion), mainly comprising accounts payable, deferred revenue, accrued liabilities and other payables. As of December 31, 2014, the total assets of our company and all of our consolidated subsidiaries were RMB26.9 billion (US$4.3 billion), mainly comprising cash and cash equivalents, time deposits, restricted cash, accounts receivable, short-term investments, prepayments and other current assets and fixed assets. As of December 31, 2014, the total liabilities of our company and all of our consolidated subsidiaries were RMB3.6 billion (US$0.6 billion), mainly comprising accounts payable, salary and welfare payables, dividend payable, tax payable, deferred revenue, accrued liabilities and other payables. Substantially all of our revenues are generated through our consolidated VIEs.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506"/>
        <w:spacing w:after="0" w:line="264" w:lineRule="auto"/>
        <w:rPr>
          <w:sz w:val="20"/>
          <w:szCs w:val="20"/>
          <w:color w:val="auto"/>
        </w:rPr>
      </w:pPr>
      <w:r>
        <w:rPr>
          <w:rFonts w:ascii="Arial" w:cs="Arial" w:eastAsia="Arial" w:hAnsi="Arial"/>
          <w:sz w:val="18"/>
          <w:szCs w:val="18"/>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w:t>
      </w:r>
    </w:p>
    <w:p>
      <w:pPr>
        <w:spacing w:after="0" w:line="181" w:lineRule="exact"/>
        <w:rPr>
          <w:sz w:val="20"/>
          <w:szCs w:val="20"/>
          <w:color w:val="auto"/>
        </w:rPr>
      </w:pPr>
    </w:p>
    <w:p>
      <w:pPr>
        <w:ind w:right="160" w:firstLine="506"/>
        <w:spacing w:after="0" w:line="264" w:lineRule="auto"/>
        <w:rPr>
          <w:sz w:val="20"/>
          <w:szCs w:val="20"/>
          <w:color w:val="auto"/>
        </w:rPr>
      </w:pPr>
      <w:r>
        <w:rPr>
          <w:rFonts w:ascii="Arial" w:cs="Arial" w:eastAsia="Arial" w:hAnsi="Arial"/>
          <w:sz w:val="18"/>
          <w:szCs w:val="18"/>
          <w:color w:val="auto"/>
        </w:rPr>
        <w:t>Future changes in Chinese government policies affecting the provision of information services, including the provision of online services, Internet access, e-commerce services, online advertising and online payment services, may impose additional regulatory requirements on us or our service providers or otherwise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20" w:firstLine="506"/>
        <w:spacing w:after="0" w:line="308" w:lineRule="auto"/>
        <w:rPr>
          <w:sz w:val="20"/>
          <w:szCs w:val="20"/>
          <w:color w:val="auto"/>
        </w:rPr>
      </w:pPr>
      <w:r>
        <w:rPr>
          <w:rFonts w:ascii="Arial" w:cs="Arial" w:eastAsia="Arial" w:hAnsi="Arial"/>
          <w:sz w:val="17"/>
          <w:szCs w:val="17"/>
          <w:color w:val="auto"/>
        </w:rPr>
        <w:t>We generate our revenues from the provision of online games services, advertising services and e-mail, e-commerce and other services. No customer individually accounted for greater than 10.0% of our total revenues for the years ended December 31, 2012, 2013 and 2014.</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120" w:firstLine="506"/>
        <w:spacing w:after="0" w:line="276" w:lineRule="auto"/>
        <w:rPr>
          <w:sz w:val="20"/>
          <w:szCs w:val="20"/>
          <w:color w:val="auto"/>
        </w:rPr>
      </w:pPr>
      <w:r>
        <w:rPr>
          <w:rFonts w:ascii="Arial" w:cs="Arial" w:eastAsia="Arial" w:hAnsi="Arial"/>
          <w:sz w:val="17"/>
          <w:szCs w:val="17"/>
          <w:color w:val="auto"/>
        </w:rPr>
        <w:t>We derive our online game services revenues from customers through their use of prepaid point cards and, for our mobile games, through online payments. Customers can purchase physical prepaid point cards in different locations in China, including Internet cafés, software stores, convenience stores and bookstores, or from vendors who register the points in our system. Customers can also purchase virtual prepaid cards online by debit card, credit card or bank transfer, and receive the prepaid point information over the Internet. Customers can use the points to play our online games, either to pay for playing time or to purchase virtual items within the games, and use our other fee-based services.</w:t>
      </w:r>
    </w:p>
    <w:p>
      <w:pPr>
        <w:sectPr>
          <w:pgSz w:w="11900" w:h="16838" w:orient="portrait"/>
          <w:cols w:equalWidth="0" w:num="1">
            <w:col w:w="11400"/>
          </w:cols>
          <w:pgMar w:left="240" w:top="125" w:right="259" w:bottom="0" w:gutter="0" w:footer="0" w:header="0"/>
        </w:sectPr>
      </w:pPr>
    </w:p>
    <w:bookmarkStart w:id="39" w:name="page40"/>
    <w:bookmarkEnd w:id="39"/>
    <w:p>
      <w:pPr>
        <w:ind w:right="120" w:firstLine="506"/>
        <w:spacing w:after="0" w:line="259" w:lineRule="auto"/>
        <w:rPr>
          <w:sz w:val="20"/>
          <w:szCs w:val="20"/>
          <w:color w:val="auto"/>
        </w:rPr>
      </w:pPr>
      <w:r>
        <w:rPr>
          <w:rFonts w:ascii="Arial" w:cs="Arial" w:eastAsia="Arial" w:hAnsi="Arial"/>
          <w:sz w:val="18"/>
          <w:szCs w:val="18"/>
          <w:color w:val="auto"/>
        </w:rPr>
        <w:t>Starting in August 2008, Blizzard agreed to license certain online games to Shanghai EaseNet for operation in the PRC as discussed in “Business Overview — Our Services — Game Licensing and Joint Venture with Blizzard.” These games include World of Warcraft, StarCraft II: Wings of Liberty and Hearthstone: Heroes of Warcraft, which were commercially launched in 2009, 2011 and 2014, respectively, as well as Heroes of the Storm and Diablo III, which have not yet been commercially launched in China.</w:t>
      </w:r>
    </w:p>
    <w:p>
      <w:pPr>
        <w:spacing w:after="0" w:line="187" w:lineRule="exact"/>
        <w:rPr>
          <w:sz w:val="20"/>
          <w:szCs w:val="20"/>
          <w:color w:val="auto"/>
        </w:rPr>
      </w:pPr>
    </w:p>
    <w:p>
      <w:pPr>
        <w:ind w:right="20" w:firstLine="506"/>
        <w:spacing w:after="0" w:line="277" w:lineRule="auto"/>
        <w:rPr>
          <w:sz w:val="20"/>
          <w:szCs w:val="20"/>
          <w:color w:val="auto"/>
        </w:rPr>
      </w:pPr>
      <w:r>
        <w:rPr>
          <w:rFonts w:ascii="Arial" w:cs="Arial" w:eastAsia="Arial" w:hAnsi="Arial"/>
          <w:sz w:val="18"/>
          <w:szCs w:val="18"/>
          <w:color w:val="auto"/>
        </w:rPr>
        <w:t>We expect that we will face increasing competition as online game providers in China and abroad expand their presence in the Chinese market or enter it for the first time.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180" w:firstLine="506"/>
        <w:spacing w:after="0" w:line="264" w:lineRule="auto"/>
        <w:rPr>
          <w:sz w:val="20"/>
          <w:szCs w:val="20"/>
          <w:color w:val="auto"/>
        </w:rPr>
      </w:pPr>
      <w:r>
        <w:rPr>
          <w:rFonts w:ascii="Arial" w:cs="Arial" w:eastAsia="Arial" w:hAnsi="Arial"/>
          <w:sz w:val="18"/>
          <w:szCs w:val="18"/>
          <w:color w:val="auto"/>
        </w:rPr>
        <w:t>We derive most of our advertising services revenue from fees we earn from advertisements placed on the NetEase websites. Approximately 90.0%, 90.6% and 88.0% of our total advertising revenue was derived from brand advertising for the years ended December 31, 2012, 2013 and 2014, respectively, with the remainder generated from advertisers in our search engine business.</w:t>
      </w:r>
    </w:p>
    <w:p>
      <w:pPr>
        <w:spacing w:after="0" w:line="181" w:lineRule="exact"/>
        <w:rPr>
          <w:sz w:val="20"/>
          <w:szCs w:val="20"/>
          <w:color w:val="auto"/>
        </w:rPr>
      </w:pPr>
    </w:p>
    <w:p>
      <w:pPr>
        <w:ind w:right="100" w:firstLine="506"/>
        <w:spacing w:after="0" w:line="297" w:lineRule="auto"/>
        <w:rPr>
          <w:sz w:val="20"/>
          <w:szCs w:val="20"/>
          <w:color w:val="auto"/>
        </w:rPr>
      </w:pPr>
      <w:r>
        <w:rPr>
          <w:rFonts w:ascii="Arial" w:cs="Arial" w:eastAsia="Arial" w:hAnsi="Arial"/>
          <w:sz w:val="16"/>
          <w:szCs w:val="16"/>
          <w:color w:val="auto"/>
        </w:rPr>
        <w:t>We expect that the online advertising market in China will continue to grow as Internet usage in China increases and as more companies, in particular China-based companies in a variety of industries, accept the Internet as an effective advertising medium. Moreover, we expect that as the e-commerce industry further develops in China, there will be more small- to medium-size online businesses using paid search services to advertise or market their businesses and products. Accordingly, we believe that the growth rate of paid search-related advertising in China may increase at a faster rate than that of online brand advertising. We expect that such advertising will become an important advertising sector in China and competition in this area will be intense.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160" w:firstLine="506"/>
        <w:spacing w:after="0" w:line="312" w:lineRule="auto"/>
        <w:rPr>
          <w:sz w:val="20"/>
          <w:szCs w:val="20"/>
          <w:color w:val="auto"/>
        </w:rPr>
      </w:pPr>
      <w:r>
        <w:rPr>
          <w:rFonts w:ascii="Arial" w:cs="Arial" w:eastAsia="Arial" w:hAnsi="Arial"/>
          <w:sz w:val="16"/>
          <w:szCs w:val="16"/>
          <w:color w:val="auto"/>
        </w:rPr>
        <w:t>We derive our e-mail, e-commerce and others revenues primarily from providing to our customers fee-based premium services, online payment platform services (Wangyibao), and e-commerce services related to third-party lottery products (Caipiao) and third-party insurance products (Baoxian). Our online fee-based premium services, supplied to registered users of the NetEase websites, include premium e-mail and other value-added services.</w:t>
      </w:r>
    </w:p>
    <w:p>
      <w:pPr>
        <w:spacing w:after="0" w:line="147" w:lineRule="exact"/>
        <w:rPr>
          <w:sz w:val="20"/>
          <w:szCs w:val="20"/>
          <w:color w:val="auto"/>
        </w:rPr>
      </w:pPr>
    </w:p>
    <w:p>
      <w:pPr>
        <w:ind w:right="100" w:firstLine="510"/>
        <w:spacing w:after="0" w:line="302" w:lineRule="auto"/>
        <w:rPr>
          <w:sz w:val="20"/>
          <w:szCs w:val="20"/>
          <w:color w:val="auto"/>
        </w:rPr>
      </w:pPr>
      <w:r>
        <w:rPr>
          <w:rFonts w:ascii="Arial" w:cs="Arial" w:eastAsia="Arial" w:hAnsi="Arial"/>
          <w:sz w:val="16"/>
          <w:szCs w:val="16"/>
          <w:color w:val="auto"/>
        </w:rPr>
        <w:t>Our Wangyibao online payment platform enables registered users to deposit money in their accounts and use the accounts to pay for game point cards and other fee-based services and products offered by us. Account holders are charged a service fee when they withdraw cash from their Wangyibao accounts or make a payment to a third party (for example, to purchase goods online from a third party) in accordance with their service agreements with us. We recognize revenue upon services rendered. No fees are imposed when account holders use money in their accounts to pay us for goods or services.</w:t>
      </w:r>
    </w:p>
    <w:p>
      <w:pPr>
        <w:spacing w:after="0" w:line="154" w:lineRule="exact"/>
        <w:rPr>
          <w:sz w:val="20"/>
          <w:szCs w:val="20"/>
          <w:color w:val="auto"/>
        </w:rPr>
      </w:pPr>
    </w:p>
    <w:p>
      <w:pPr>
        <w:ind w:right="400" w:firstLine="506"/>
        <w:spacing w:after="0" w:line="277" w:lineRule="auto"/>
        <w:rPr>
          <w:sz w:val="20"/>
          <w:szCs w:val="20"/>
          <w:color w:val="auto"/>
        </w:rPr>
      </w:pPr>
      <w:r>
        <w:rPr>
          <w:rFonts w:ascii="Arial" w:cs="Arial" w:eastAsia="Arial" w:hAnsi="Arial"/>
          <w:sz w:val="18"/>
          <w:szCs w:val="18"/>
          <w:color w:val="auto"/>
        </w:rPr>
        <w:t>We generate revenues from e-commerce services mainly by providing services related to third party lottery and insurance products. We recognize revenue when services are rendered to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We also generate revenue from other services such as personalized photo-based products and game-related accessories and revenue is recognized when the titles of such products are transferred to the customers or the services are rendered and collections are reasonably assured.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Seasonality of Revenues</w:t>
      </w:r>
    </w:p>
    <w:p>
      <w:pPr>
        <w:spacing w:after="0" w:line="225" w:lineRule="exact"/>
        <w:rPr>
          <w:sz w:val="20"/>
          <w:szCs w:val="20"/>
          <w:color w:val="auto"/>
        </w:rPr>
      </w:pPr>
    </w:p>
    <w:p>
      <w:pPr>
        <w:ind w:right="120" w:firstLine="506"/>
        <w:spacing w:after="0" w:line="312" w:lineRule="auto"/>
        <w:rPr>
          <w:sz w:val="20"/>
          <w:szCs w:val="20"/>
          <w:color w:val="auto"/>
        </w:rPr>
      </w:pPr>
      <w:r>
        <w:rPr>
          <w:rFonts w:ascii="Arial" w:cs="Arial" w:eastAsia="Arial" w:hAnsi="Arial"/>
          <w:sz w:val="16"/>
          <w:szCs w:val="16"/>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as the strongest. Usage of our online games has generally increased around the Chinese holidays, particularly the winter and summer school holidays.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120" w:firstLine="506"/>
        <w:spacing w:after="0" w:line="279" w:lineRule="auto"/>
        <w:rPr>
          <w:sz w:val="20"/>
          <w:szCs w:val="20"/>
          <w:color w:val="auto"/>
        </w:rPr>
      </w:pPr>
      <w:r>
        <w:rPr>
          <w:rFonts w:ascii="Arial" w:cs="Arial" w:eastAsia="Arial" w:hAnsi="Arial"/>
          <w:sz w:val="17"/>
          <w:szCs w:val="17"/>
          <w:color w:val="auto"/>
        </w:rPr>
        <w:t>Cost of revenues for our online games services consist primarily of sales tax on intra-group revenues, staff costs (in particular remuneration to employees who maintain game software and employees known as the “Game Masters” who are responsible for the daily co-ordination and regulation of the activities inside our games’ virtual worlds), service fee paid to Internet data centers, or IDC, for the rental of servers, and printing costs for our prepaid point cards, as well as revenue-sharing cost paid to mobile game distribution channels and game developers.</w:t>
      </w:r>
    </w:p>
    <w:p>
      <w:pPr>
        <w:spacing w:after="0" w:line="171" w:lineRule="exact"/>
        <w:rPr>
          <w:sz w:val="20"/>
          <w:szCs w:val="20"/>
          <w:color w:val="auto"/>
        </w:rPr>
      </w:pPr>
    </w:p>
    <w:p>
      <w:pPr>
        <w:ind w:right="40" w:firstLine="506"/>
        <w:spacing w:after="0" w:line="259" w:lineRule="auto"/>
        <w:rPr>
          <w:sz w:val="20"/>
          <w:szCs w:val="20"/>
          <w:color w:val="auto"/>
        </w:rPr>
      </w:pPr>
      <w:r>
        <w:rPr>
          <w:rFonts w:ascii="Arial" w:cs="Arial" w:eastAsia="Arial" w:hAnsi="Arial"/>
          <w:sz w:val="18"/>
          <w:szCs w:val="18"/>
          <w:color w:val="auto"/>
        </w:rPr>
        <w:t>In addition, cost of revenues for our online games services include that portion of bandwidth and server custody fees (fees paid to telecommunications companies to host and maintain our servers) and depreciation and amortization of computers and software which are attributable to our online games business. Our subsidiaries and VIEs have network servers co-located in facilities owned by China Telecom’s and China Unicom’s affiliates, for which we pay server custody fees to China Telecom and China Unicom.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cost of revenues for certain games licensed from Blizzard also includes royalties and license and consulting fees paid to Blizzard.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jc w:val="both"/>
        <w:ind w:right="40" w:firstLine="506"/>
        <w:spacing w:after="0" w:line="286" w:lineRule="auto"/>
        <w:rPr>
          <w:sz w:val="20"/>
          <w:szCs w:val="20"/>
          <w:color w:val="auto"/>
        </w:rPr>
      </w:pPr>
      <w:r>
        <w:rPr>
          <w:rFonts w:ascii="Arial" w:cs="Arial" w:eastAsia="Arial" w:hAnsi="Arial"/>
          <w:sz w:val="17"/>
          <w:szCs w:val="17"/>
          <w:color w:val="auto"/>
        </w:rPr>
        <w:t>Cost of revenues related to our advertising services consists primarily of sales tax on intra-group revenues, staff costs for editors of the various content channels for the NetEase websites and content fees paid to content providers for the NetEase websites as well as that portion of bandwidth and server custody fees, depreciation and amortization of computers and software which are attributable to the provision of advertising services.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340" w:firstLine="506"/>
        <w:spacing w:after="0" w:line="312" w:lineRule="auto"/>
        <w:rPr>
          <w:sz w:val="20"/>
          <w:szCs w:val="20"/>
          <w:color w:val="auto"/>
        </w:rPr>
      </w:pPr>
      <w:r>
        <w:rPr>
          <w:rFonts w:ascii="Arial" w:cs="Arial" w:eastAsia="Arial" w:hAnsi="Arial"/>
          <w:sz w:val="16"/>
          <w:szCs w:val="16"/>
          <w:color w:val="auto"/>
        </w:rPr>
        <w:t>Cost of revenues related to our e-mail, e-commerce and others consists primarily of staff costs (principally compensation expenses for editorial professionals) and content fees, game-related accessories, service fees related to online payments, as well as that portion of bandwidth and server custody fees, depreciation and amortization of computers and software which are attributable to the provision of e-mail, e-commerce and other services. We pay</w:t>
      </w:r>
    </w:p>
    <w:p>
      <w:pPr>
        <w:sectPr>
          <w:pgSz w:w="11900" w:h="16838" w:orient="portrait"/>
          <w:cols w:equalWidth="0" w:num="1">
            <w:col w:w="11400"/>
          </w:cols>
          <w:pgMar w:left="240" w:top="125" w:right="259" w:bottom="0" w:gutter="0" w:footer="0" w:header="0"/>
        </w:sectPr>
      </w:pPr>
    </w:p>
    <w:bookmarkStart w:id="40" w:name="page41"/>
    <w:bookmarkEnd w:id="40"/>
    <w:p>
      <w:pPr>
        <w:spacing w:after="0" w:line="3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content fees to third party partners for the right to use proprietary content developed by them, such as copyrights of books and music. We also pay content fees to newspaper and magazine publishers for the right to use their proprietary content, such as headline news and articles.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expenses include selling and marketing expenses, general and administrative expenses and research and development expenses.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ind w:right="100" w:firstLine="506"/>
        <w:spacing w:after="0" w:line="277" w:lineRule="auto"/>
        <w:rPr>
          <w:sz w:val="20"/>
          <w:szCs w:val="20"/>
          <w:color w:val="auto"/>
        </w:rPr>
      </w:pPr>
      <w:r>
        <w:rPr>
          <w:rFonts w:ascii="Arial" w:cs="Arial" w:eastAsia="Arial" w:hAnsi="Arial"/>
          <w:sz w:val="18"/>
          <w:szCs w:val="18"/>
          <w:color w:val="auto"/>
        </w:rPr>
        <w:t>Selling and marketing expenses consist primarily of salary and welfare expenses, compensation costs for our sales and marketing staff, and marketing and advertising expenses payable to third party vendors, internet companies and agents.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expenses consist principally of salary and welfare expenses and compensation costs for our research and development professionals.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Cost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NetEase 2009 Restricted Share Unit Plan</w:t>
      </w:r>
    </w:p>
    <w:p>
      <w:pPr>
        <w:spacing w:after="0" w:line="225"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In November 2009, we adopted the NetEase.com, Inc. 2009 Restricted Share Unit Plan, or the RSU Plan, for our employees, directors and consultants. We have reserved 323,694,050 ordinary shares for issuance under this plan. The RSU Plan was adopted by a resolution of the board of directors on November 17, 2009 and became effective for a term of ten years unless sooner terminated.</w:t>
      </w:r>
    </w:p>
    <w:p>
      <w:pPr>
        <w:spacing w:after="0" w:line="18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For the years ended December 31, 2012, 2013 and 2014, we recorded share-based compensation cost of approximately RMB203.0 million, RMB306.3 million and RMB349.3 million (US$56.3 million), respectively for awards granted under the RSU Plan. This cost has been allocated to (i) cost of revenues,</w:t>
      </w:r>
    </w:p>
    <w:p>
      <w:pPr>
        <w:ind w:right="180" w:firstLine="8"/>
        <w:spacing w:after="0" w:line="261"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and marketing expenses, (iii) general and administrative expenses and (iv) research and development expenses, depending on the responsibilities of the relevant employees.</w:t>
      </w:r>
    </w:p>
    <w:p>
      <w:pPr>
        <w:spacing w:after="0" w:line="184" w:lineRule="exact"/>
        <w:rPr>
          <w:sz w:val="20"/>
          <w:szCs w:val="20"/>
          <w:color w:val="auto"/>
        </w:rPr>
      </w:pPr>
    </w:p>
    <w:p>
      <w:pPr>
        <w:jc w:val="both"/>
        <w:ind w:right="520" w:firstLine="510"/>
        <w:spacing w:after="0" w:line="264" w:lineRule="auto"/>
        <w:rPr>
          <w:sz w:val="20"/>
          <w:szCs w:val="20"/>
          <w:color w:val="auto"/>
        </w:rPr>
      </w:pPr>
      <w:r>
        <w:rPr>
          <w:rFonts w:ascii="Arial" w:cs="Arial" w:eastAsia="Arial" w:hAnsi="Arial"/>
          <w:sz w:val="18"/>
          <w:szCs w:val="18"/>
          <w:color w:val="auto"/>
        </w:rPr>
        <w:t>As of December 31, 2014, total unrecognized compensation cost related to unvested awards granted under the RSU Plan, adjusted for estimated forfeitures, was RMB899.0 million (US$144.9 million), which is expected to be recognized through the remaining vesting period of each grant. As of December 31, 2014, the weighted average remaining vesting period was 3.14 years.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Lede Inc. 2014 Stock Incentive Plan</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June 2014, one of our subsidiaries, Lede Inc., adopted its 2014 Stock Incentive Plan, or the Lede Plan, which allows Lede Inc. to offer a variety of share-based incentive awards to our employees. The Lede Plan reserved for issuance up to 18% of Lede Inc.’s total outstanding shares as of the effective date of the plan and is effective for a term of ten years unless sooner terminated. As of December 31, 2014, there was RMB94.0 million (US$15.2 million) of unrecognized compensation cost under the Lede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Under the current laws of the Cayman Islands, we, Lede Inc. and Media Cayman are not subject to tax on income or capital gain. Additionally, upon payments of dividends by us to our shareholders or by Lede Inc. or Media Cayman to us, no Cayman Islands withholding tax will be imposed.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NetEase Interactive Entertainment Limited is exempted from income tax on its foreign-derived income in the BVI. There are no withholding taxes in the BVI.</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Hong Kong NetEase Interactive, NetEase Hong Kong, Lede Hong Kong, Media Hong Kong and StormNet IT HK are subject to 16.5% income tax on their taxable income generated from operations in Hong Kong. No significant taxable income was generated by these companies in 2012, 2013 and 2014. The payments of dividends by Hong Kong NetEase Interactive, NetEase Hong Kong, Lede Hong Kong, Media Hong Kong and StormNet IT HK to us are not subject to any Hong Kong withholding tax.</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100" w:firstLine="510"/>
        <w:spacing w:after="0" w:line="30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and/or “High and New Technology Enterprises” (“HNTE”). The Enterprise Income Tax Law became effective on January 1, 2008.</w:t>
      </w:r>
    </w:p>
    <w:p>
      <w:pPr>
        <w:sectPr>
          <w:pgSz w:w="11900" w:h="16877" w:orient="portrait"/>
          <w:cols w:equalWidth="0" w:num="1">
            <w:col w:w="11400"/>
          </w:cols>
          <w:pgMar w:left="240" w:top="125" w:right="25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504"/>
        <w:spacing w:after="0" w:line="312" w:lineRule="auto"/>
        <w:rPr>
          <w:sz w:val="20"/>
          <w:szCs w:val="20"/>
          <w:color w:val="auto"/>
        </w:rPr>
      </w:pPr>
      <w:r>
        <w:rPr>
          <w:rFonts w:ascii="Arial" w:cs="Arial" w:eastAsia="Arial" w:hAnsi="Arial"/>
          <w:sz w:val="16"/>
          <w:szCs w:val="16"/>
          <w:color w:val="auto"/>
        </w:rPr>
        <w:t>NetEase Beijing was recognized as a HNTE under the Enterprise Income Tax Law in 2008, which qualification was renewed in 2011, and enjoyed a preferential tax rate of 15% from 2008 to 2013. In March 2011, NetEase Beijing was also recognized as a Key Software Enterprise and enjoyed a further reduced preferential tax rate of 10% for 2010. We recorded the resulting income tax reduction in our consolidated financial statements in 2011.</w:t>
      </w:r>
    </w:p>
    <w:p>
      <w:pPr>
        <w:spacing w:after="0" w:line="147"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Boguan renewed its recognition as a HNTE in 2011 and enjoyed a preferential tax rate of 15% from 2011 to 2013. In addition, Boguan was recognized as a Key Software Enterprise in March 2011 and enjoyed a further reduced preferential tax rate of 10% for 2010. We recorded the resulting income tax reduction in our consolidated financial statements in 2011.</w:t>
      </w:r>
    </w:p>
    <w:p>
      <w:pPr>
        <w:spacing w:after="0" w:line="18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NetEase Hangzhou was recognized as a Software Enterprise and HNTE in 2007 and its qualification as a HNTE was renewed in 2011. Accordingly, NetEase Hangzhou enjoyed a preferential tax rate of 12.5% from 2009 to 2011 and 15% from 2012 to 2013.</w:t>
      </w:r>
    </w:p>
    <w:p>
      <w:pPr>
        <w:spacing w:after="0" w:line="170"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Hangzhou Langhe was recognized as a Software Enterprise in 2010. As 2010 was the first year Hangzhou Langhe incurred taxable profit, it was exempt from EIT for 2010 and 2011 and subject to a 50% reduction in its EIT rate from 2012 to 2014.</w:t>
      </w:r>
    </w:p>
    <w:p>
      <w:pPr>
        <w:spacing w:after="0" w:line="170" w:lineRule="exact"/>
        <w:rPr>
          <w:sz w:val="20"/>
          <w:szCs w:val="20"/>
          <w:color w:val="auto"/>
        </w:rPr>
      </w:pPr>
    </w:p>
    <w:p>
      <w:pPr>
        <w:ind w:right="140" w:firstLine="504"/>
        <w:spacing w:after="0" w:line="308" w:lineRule="auto"/>
        <w:rPr>
          <w:sz w:val="20"/>
          <w:szCs w:val="20"/>
          <w:color w:val="auto"/>
        </w:rPr>
      </w:pPr>
      <w:r>
        <w:rPr>
          <w:rFonts w:ascii="Arial" w:cs="Arial" w:eastAsia="Arial" w:hAnsi="Arial"/>
          <w:sz w:val="17"/>
          <w:szCs w:val="17"/>
          <w:color w:val="auto"/>
        </w:rPr>
        <w:t>NetEase Beijing, NetEase Hangzhou and Boguan were recognized as Key Software Enterprises in 2013 and enjoy a preferential tax rate of 10% from 2011 to 2014. We have recorded the resulting 2011 to 2013 income tax reduction in our consolidated financial statements in 2013.</w:t>
      </w:r>
    </w:p>
    <w:p>
      <w:pPr>
        <w:spacing w:after="0" w:line="147"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Wangyibao was recognized as a Software Enterprise in 2011. Accordingly, it was exempt from EIT for 2011 and 2012 and is subject to a 50% reduction in its EIT rate from 2013 to 2015.</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Lede Technology was recognized as a Software Enterprise in 2014. It was exempt from EIT for 2014 and 2015 and is subject to a 50% reduction in its EIT rate from 2016 to 2018.</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foregoing preferential income tax rates, however, are subject to periodic review and renewal by PRC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w:t>
      </w:r>
    </w:p>
    <w:p>
      <w:pPr>
        <w:spacing w:after="0" w:line="229"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Sales tax includes business tax and value-added tax. 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our revenues generally ranges from 3% to 5%.</w:t>
      </w:r>
    </w:p>
    <w:p>
      <w:pPr>
        <w:spacing w:after="0" w:line="16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November 2011, the PRC Ministry of Finance and the State Administration of Taxation jointly issued two circulars setting out the details of a pilot value-added tax reform program, which change the charge of sales tax from business tax to value-added tax for certain pilot industries, including research, development and technological industries, information technology industries and cultural innovation industries. The pilot value-added tax reform program initially applied only to the pilot industries in Shanghai commencing from January 1, 2012, and has been expanded to eight additional regions, including, among others, Beijing, Zhejiang province and Guangdong province, during 2012. The pilot program was subsequently expanded nationwide in 2013. As a result, most of our subsidiaries and VIEs are subject to 6% value-added tax which replaced the original 5% business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In order to assess uncertain tax positions, we apply a more likely than not threshold and a two-step approach for tax position measurement and financial statement recognition. For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to be realized upon settlement.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We make our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We believe that the following are some of the more critical judgment areas in the application of our accounting policies that affect our financial condition and results of operation. We do not have significant change in accounting estimates during the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Accounting Policies and Estimates Regarding Revenue Recognition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760" w:firstLine="506"/>
        <w:spacing w:after="0" w:line="277" w:lineRule="auto"/>
        <w:rPr>
          <w:sz w:val="20"/>
          <w:szCs w:val="20"/>
          <w:color w:val="auto"/>
        </w:rPr>
      </w:pPr>
      <w:r>
        <w:rPr>
          <w:rFonts w:ascii="Arial" w:cs="Arial" w:eastAsia="Arial" w:hAnsi="Arial"/>
          <w:sz w:val="18"/>
          <w:szCs w:val="18"/>
          <w:color w:val="auto"/>
        </w:rPr>
        <w:t>We recognize revenue when persuasive evidence of an arrangement exists, delivery has occurred, the sales price is fixed or determinable and collectability is reasonably assured.</w:t>
      </w:r>
    </w:p>
    <w:p>
      <w:pPr>
        <w:sectPr>
          <w:pgSz w:w="11900" w:h="16838" w:orient="portrait"/>
          <w:cols w:equalWidth="0" w:num="1">
            <w:col w:w="11420"/>
          </w:cols>
          <w:pgMar w:left="240" w:top="341" w:right="239" w:bottom="0" w:gutter="0" w:footer="0" w:header="0"/>
        </w:sectPr>
      </w:pPr>
    </w:p>
    <w:bookmarkStart w:id="42" w:name="page43"/>
    <w:bookmarkEnd w:id="42"/>
    <w:p>
      <w:pPr>
        <w:spacing w:after="0" w:line="69" w:lineRule="exact"/>
        <w:rPr>
          <w:sz w:val="20"/>
          <w:szCs w:val="20"/>
          <w:color w:val="auto"/>
        </w:rPr>
      </w:pPr>
    </w:p>
    <w:p>
      <w:pPr>
        <w:ind w:right="620" w:firstLine="506"/>
        <w:spacing w:after="0" w:line="308" w:lineRule="auto"/>
        <w:rPr>
          <w:sz w:val="20"/>
          <w:szCs w:val="20"/>
          <w:color w:val="auto"/>
        </w:rPr>
      </w:pPr>
      <w:r>
        <w:rPr>
          <w:rFonts w:ascii="Arial" w:cs="Arial" w:eastAsia="Arial" w:hAnsi="Arial"/>
          <w:sz w:val="17"/>
          <w:szCs w:val="17"/>
          <w:color w:val="auto"/>
        </w:rPr>
        <w:t>Net revenues presented in the consolidated statements of operations and comprehensive income represent revenues from online game services, advertising services, e-mail, e-commerce and others recognized net of sales discount, sales tax and related surcharges.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MMORPG and other online games</w:t>
      </w:r>
    </w:p>
    <w:p>
      <w:pPr>
        <w:spacing w:after="0" w:line="225" w:lineRule="exact"/>
        <w:rPr>
          <w:sz w:val="20"/>
          <w:szCs w:val="20"/>
          <w:color w:val="auto"/>
        </w:rPr>
      </w:pPr>
    </w:p>
    <w:p>
      <w:pPr>
        <w:ind w:firstLine="506"/>
        <w:spacing w:after="0" w:line="286" w:lineRule="auto"/>
        <w:rPr>
          <w:sz w:val="20"/>
          <w:szCs w:val="20"/>
          <w:color w:val="auto"/>
        </w:rPr>
      </w:pPr>
      <w:r>
        <w:rPr>
          <w:rFonts w:ascii="Arial" w:cs="Arial" w:eastAsia="Arial" w:hAnsi="Arial"/>
          <w:sz w:val="17"/>
          <w:szCs w:val="17"/>
          <w:color w:val="auto"/>
        </w:rPr>
        <w:t>We provide MMORPG and certain other online games services through Guangzhou NetEase and Shanghai EaseNet. Regarding the revenue recognition for our online games, we sell prepaid point cards and online points to the end users who may use the points on such cards for online game services provided by us. Proceeds received from the sales of prepaid point cards and online points are initially recorded as deferred revenue.</w:t>
      </w:r>
    </w:p>
    <w:p>
      <w:pPr>
        <w:spacing w:after="0" w:line="166" w:lineRule="exact"/>
        <w:rPr>
          <w:sz w:val="20"/>
          <w:szCs w:val="20"/>
          <w:color w:val="auto"/>
        </w:rPr>
      </w:pPr>
    </w:p>
    <w:p>
      <w:pPr>
        <w:ind w:firstLine="506"/>
        <w:spacing w:after="0" w:line="286" w:lineRule="auto"/>
        <w:rPr>
          <w:sz w:val="20"/>
          <w:szCs w:val="20"/>
          <w:color w:val="auto"/>
        </w:rPr>
      </w:pPr>
      <w:r>
        <w:rPr>
          <w:rFonts w:ascii="Arial" w:cs="Arial" w:eastAsia="Arial" w:hAnsi="Arial"/>
          <w:sz w:val="16"/>
          <w:szCs w:val="16"/>
          <w:color w:val="auto"/>
        </w:rPr>
        <w:t>We earn revenue through providing online game services to players under two types of revenue models: a time-based revenue model and an item-based revenue model. For the time-based model, revenue is recognized based upon the actual usage of game playing time by players. For the item-based model, the basic gameplay functions are free of charge, and players are charged for purchases of in-game items. Revenues from the sales of in-game items are recognized when the items are consumed by the customers or over the estimated lives of the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based on the estimated lives of the in-game items. 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life in-game items. However, given the relatively short operating history of our item-based games, our estimate of the period that game players typically play our games may not accurately reflect the estimated lives of the permanent life in-game items. We have adopted a policy of assessing the estimated lives of the permanent life in-game items on a quarterly basis. All paying users’ data collected since the launch of the games are used to perform the relevant assessments. Historical behavior patterns of these paying users during the period between their first log-on date and last log-on date are used to estimate the lives of the permanent life in-game items.</w:t>
      </w:r>
    </w:p>
    <w:p>
      <w:pPr>
        <w:spacing w:after="0" w:line="16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While we believe our estimates to be reasonable based on available game player information, we may revise such estimates in the future as we continue to gain more operating history and data of our item-based games. Any adjustments arising from changes in estimates of the lives of the permanent in-game items will be applied prospectively as such changes are resulted from new information indicating a change in the game player behavior patterns. Any changes in our estimate of lives of the permanent in-game items may result in our revenues being recognized on a basis different from prior periods and may cause our operating results to fluctuate.</w:t>
      </w:r>
    </w:p>
    <w:p>
      <w:pPr>
        <w:spacing w:after="0" w:line="188"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Unused online points in an inactive personal game account are recognized as revenue when the likelihood that we would provide further online games services with respect to such online points is remote. Based on our current policies, we periodically review activity in users’ accounts each year and will cancel online points and recognize revenue with respect to such points for accounts which have been inactive for 540 days or more.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320" w:firstLine="506"/>
        <w:spacing w:after="0" w:line="264" w:lineRule="auto"/>
        <w:rPr>
          <w:sz w:val="20"/>
          <w:szCs w:val="20"/>
          <w:color w:val="auto"/>
        </w:rPr>
      </w:pPr>
      <w:r>
        <w:rPr>
          <w:rFonts w:ascii="Arial" w:cs="Arial" w:eastAsia="Arial" w:hAnsi="Arial"/>
          <w:sz w:val="18"/>
          <w:szCs w:val="18"/>
          <w:color w:val="auto"/>
        </w:rPr>
        <w:t>We primarily operate our mobile games, including both self-developed and licensed mobile games, through Hangzhou Leihuo and generate mobile game revenues from the sale of in-game virtual items, including items, avatars, skills, privileges or other in-game consumables, features or functionality, within our games.</w:t>
      </w:r>
    </w:p>
    <w:p>
      <w:pPr>
        <w:spacing w:after="0" w:line="181" w:lineRule="exact"/>
        <w:rPr>
          <w:sz w:val="20"/>
          <w:szCs w:val="20"/>
          <w:color w:val="auto"/>
        </w:rPr>
      </w:pPr>
    </w:p>
    <w:p>
      <w:pPr>
        <w:ind w:right="180" w:firstLine="506"/>
        <w:spacing w:after="0" w:line="342" w:lineRule="auto"/>
        <w:rPr>
          <w:sz w:val="20"/>
          <w:szCs w:val="20"/>
          <w:color w:val="auto"/>
        </w:rPr>
      </w:pPr>
      <w:r>
        <w:rPr>
          <w:rFonts w:ascii="Arial" w:cs="Arial" w:eastAsia="Arial" w:hAnsi="Arial"/>
          <w:sz w:val="16"/>
          <w:szCs w:val="16"/>
          <w:color w:val="auto"/>
        </w:rPr>
        <w:t>We record revenue generated from mobile games on a gross basis as we are acting as the principal in fulfilling all obligations related to the operation of our mobile game. Fees paid to game developers, distribution channels such as app stores and payment channels are recorded as cost of revenues.</w:t>
      </w:r>
    </w:p>
    <w:p>
      <w:pPr>
        <w:spacing w:after="0" w:line="124" w:lineRule="exact"/>
        <w:rPr>
          <w:sz w:val="20"/>
          <w:szCs w:val="20"/>
          <w:color w:val="auto"/>
        </w:rPr>
      </w:pPr>
    </w:p>
    <w:p>
      <w:pPr>
        <w:ind w:right="40" w:firstLine="506"/>
        <w:spacing w:after="0" w:line="279" w:lineRule="auto"/>
        <w:rPr>
          <w:sz w:val="20"/>
          <w:szCs w:val="20"/>
          <w:color w:val="auto"/>
        </w:rPr>
      </w:pPr>
      <w:r>
        <w:rPr>
          <w:rFonts w:ascii="Arial" w:cs="Arial" w:eastAsia="Arial" w:hAnsi="Arial"/>
          <w:sz w:val="17"/>
          <w:szCs w:val="17"/>
          <w:color w:val="auto"/>
        </w:rPr>
        <w:t>For the purposes of determining when the service has been provided to the end-users, we have determined that an implied obligation exists to provide on-going services to the end-users who have purchased virtual items to gain an enhanced game-playing experience over the average playing period of these paying players. Accordingly, we recognize revenues ratably over the estimated average playing period of these paying players, starting from the point in time when virtual items are delivered to the players’ accounts and all other revenue recognition criteria are met.</w:t>
      </w:r>
    </w:p>
    <w:p>
      <w:pPr>
        <w:spacing w:after="0" w:line="17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consider the average period of time that players typically play the games and other game playing behavior patterns, as well as various other factors, to arrive at a best estimate for the estimated playing period of the paying players. If a new game is launched and only a limited period of paying player data is available, then we consider other qualitative factors, such as the playing patterns for paying users for other games with similar characteristics and the playing patterns of certain targeted players and purchasing frequency. While we believe our estimates to be reasonable based on available game player information, we may revise such estimates and any adjustments are applied prospectively as such changes result from new information indicating a change in game player behavior patterns.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derive advertising fees principally from short-term advertising contracts. Advertising service contracts may consist of multiple elements and typically have a term of three months to one year. We adopted ASU No.2009-13, Revenue Recognition - Multiple-Deliverable Revenue Arrangements, or ASU No.2009-13, and treat advertising contracts with multiple deliverable elements as separate units of accounting for revenue recognition purposes and recognize revenue on a periodic basis during the contract when each deliverable service is provided. Since the contract price is for all deliverables, we allocate the arrangement consideration to all deliverables at the inception of the arrangement on the basis of their relative selling price according to the selling price hierarchy established by ASU No.2009-13. We use vendor-specific objective evidence of selling price, if it exists, otherwise, third-party evidence of selling price. If neither of those types of evidence exists, we will use our management’s best estimate of the selling price for that deliverable. Such adoption did not have a material impact on our consolidated financial statements.</w:t>
      </w:r>
    </w:p>
    <w:p>
      <w:pPr>
        <w:spacing w:after="0" w:line="179" w:lineRule="exact"/>
        <w:rPr>
          <w:sz w:val="20"/>
          <w:szCs w:val="20"/>
          <w:color w:val="auto"/>
        </w:rPr>
      </w:pPr>
    </w:p>
    <w:p>
      <w:pPr>
        <w:ind w:right="80" w:firstLine="504"/>
        <w:spacing w:after="0" w:line="342" w:lineRule="auto"/>
        <w:rPr>
          <w:sz w:val="20"/>
          <w:szCs w:val="20"/>
          <w:color w:val="auto"/>
        </w:rPr>
      </w:pPr>
      <w:r>
        <w:rPr>
          <w:rFonts w:ascii="Arial" w:cs="Arial" w:eastAsia="Arial" w:hAnsi="Arial"/>
          <w:sz w:val="16"/>
          <w:szCs w:val="16"/>
          <w:color w:val="auto"/>
        </w:rPr>
        <w:t>Our obligations may include guarantees of a minimum number of impressions or times that an advertisement appears in pages viewed by users. To the extent that minimum guaranteed impressions are not met within the contractual time period, we defer recognition of the corresponding revenues until the</w:t>
      </w:r>
    </w:p>
    <w:p>
      <w:pPr>
        <w:sectPr>
          <w:pgSz w:w="11900" w:h="16908" w:orient="portrait"/>
          <w:cols w:equalWidth="0" w:num="1">
            <w:col w:w="11420"/>
          </w:cols>
          <w:pgMar w:left="240" w:top="125" w:right="239" w:bottom="0" w:gutter="0" w:footer="0" w:header="0"/>
        </w:sectPr>
      </w:pPr>
    </w:p>
    <w:bookmarkStart w:id="43" w:name="page44"/>
    <w:bookmarkEnd w:id="43"/>
    <w:p>
      <w:pPr>
        <w:spacing w:after="0" w:line="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remaining guaranteed impression levels are achieved. In addition, we occasionally enter into “cost per action,” or CPA, advertising contracts whereby revenue is received by us when an online user performs a specific action such as purchasing a product from or registering with the advertiser. Revenue for CPA contracts is recognized when the specific action is completed.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260" w:firstLine="510"/>
        <w:spacing w:after="0" w:line="312" w:lineRule="auto"/>
        <w:rPr>
          <w:sz w:val="20"/>
          <w:szCs w:val="20"/>
          <w:color w:val="auto"/>
        </w:rPr>
      </w:pPr>
      <w:r>
        <w:rPr>
          <w:rFonts w:ascii="Arial" w:cs="Arial" w:eastAsia="Arial" w:hAnsi="Arial"/>
          <w:sz w:val="16"/>
          <w:szCs w:val="16"/>
          <w:color w:val="auto"/>
        </w:rPr>
        <w:t>E-mail, e-commerce and others revenue includes revenue generated from activities related to e-mail and other fee-based premium services, e-commerce services related to third-party lottery products (Caipiao) and third-party insurance products (Baoxian), and Wangyibao online payment platform services. We recognize revenue when such services are rendered or the products are transferred to the customers and collections are reasonably assured.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Critical Accounting Policies and Estimates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Costs</w:t>
      </w:r>
    </w:p>
    <w:p>
      <w:pPr>
        <w:spacing w:after="0" w:line="225" w:lineRule="exact"/>
        <w:rPr>
          <w:sz w:val="20"/>
          <w:szCs w:val="20"/>
          <w:color w:val="auto"/>
        </w:rPr>
      </w:pPr>
    </w:p>
    <w:p>
      <w:pPr>
        <w:ind w:right="40" w:firstLine="510"/>
        <w:spacing w:after="0" w:line="30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We did not capitalize costs incurred for the development of online game products for the years ended December 31, 2012, 2013 and 2014 because the period after the date technical feasibility is reached and the time when the game is marketed have been short historically and the development costs incurred in the period are insignificant.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180" w:firstLine="510"/>
        <w:spacing w:after="0" w:line="264" w:lineRule="auto"/>
        <w:rPr>
          <w:sz w:val="20"/>
          <w:szCs w:val="20"/>
          <w:color w:val="auto"/>
        </w:rPr>
      </w:pPr>
      <w:r>
        <w:rPr>
          <w:rFonts w:ascii="Arial" w:cs="Arial" w:eastAsia="Arial" w:hAnsi="Arial"/>
          <w:sz w:val="18"/>
          <w:szCs w:val="18"/>
          <w:color w:val="auto"/>
        </w:rPr>
        <w:t>We depreciate our building, computer equipment, software and other assets (other than leasehold improvements) on a straight-line basis over their estimated useful lives, which range from three years to twenty years. We depreciate leasehold improvements, which are included in our operating expenses, on a straight-line basis over the lesser of the relevant lease term or their estimated useful lives.</w:t>
      </w:r>
    </w:p>
    <w:p>
      <w:pPr>
        <w:spacing w:after="0" w:line="18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Management’s judgment is required in the assessment of the useful lives of long-lived assets, and is required in the measurement of impairment. Long-lived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The estimation of future cash flows requires significant management judgment based on our historical results and anticipated results and is subject to many factors. Measurement of any impairment loss for long-lived assets is based on the amount by which the carrying value exceeds the fair value of the asset.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Allowances for Doubtful Accounts</w:t>
      </w:r>
    </w:p>
    <w:p>
      <w:pPr>
        <w:spacing w:after="0" w:line="225" w:lineRule="exact"/>
        <w:rPr>
          <w:sz w:val="20"/>
          <w:szCs w:val="20"/>
          <w:color w:val="auto"/>
        </w:rPr>
      </w:pPr>
    </w:p>
    <w:p>
      <w:pPr>
        <w:ind w:right="140" w:firstLine="504"/>
        <w:spacing w:after="0" w:line="255" w:lineRule="auto"/>
        <w:rPr>
          <w:sz w:val="20"/>
          <w:szCs w:val="20"/>
          <w:color w:val="auto"/>
        </w:rPr>
      </w:pPr>
      <w:r>
        <w:rPr>
          <w:rFonts w:ascii="Arial" w:cs="Arial" w:eastAsia="Arial" w:hAnsi="Arial"/>
          <w:sz w:val="18"/>
          <w:szCs w:val="18"/>
          <w:color w:val="auto"/>
        </w:rPr>
        <w:t>We maintain allowances for doubtful accounts receivable based on various information, including aging analysis of accounts receivable balances, historical bad debt rates, repayment patterns and credit worthiness of customers, industry trend analysis and general and industry-specific economic and market conditions. We make provision for bad debts if there is evidence showing that the debts are likely to be irrecoverable based on historical collections assessment and aging. We provide for 50.0% in the case of direct customers, and 30.0% in the case of advertising agents, of the outstanding trade receivable balances overdue for more than 180 days and provide for 80.0% in the case of direct customers, and 50.0% in the case of advertising agents, of the outstanding trade receivable balances overdue for more than 270 days. We provide for 100.0% in the case of all parties for outstanding trade receivable balances overdue for more than one year.</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and investments that we have positive intent and ability to hold to maturity.</w:t>
      </w:r>
    </w:p>
    <w:p>
      <w:pPr>
        <w:spacing w:after="0" w:line="170" w:lineRule="exact"/>
        <w:rPr>
          <w:sz w:val="20"/>
          <w:szCs w:val="20"/>
          <w:color w:val="auto"/>
        </w:rPr>
      </w:pPr>
    </w:p>
    <w:p>
      <w:pPr>
        <w:ind w:right="300" w:firstLine="510"/>
        <w:spacing w:after="0" w:line="302"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5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investments that we have positive intent and ability to hold to maturity are classified as held-to-maturity investments and stated at amortized cost. For individual investments classified as held-to-maturity investments, we evaluate whether a decline in fair value below the amortized cost basis is other than temporary in accordance to our policy and ASC 320-10. If we conclude that we do not intend or are not required to sell an impaired debt investment before the recovery of its amortized cost basis, the impairment is considered temporary and the held-to-maturity investment continues to be recognized at the amortized cost.</w:t>
      </w:r>
    </w:p>
    <w:p>
      <w:pPr>
        <w:spacing w:after="0" w:line="188"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Investments not classified as trading or as held-to-maturity are classified as available-for-sale securities. Available-for-sale investment is reported at fair value, with unrealized gains and losses recorded in accumulated other comprehensive income (loss). Realized gains or losses are charged to earnings during 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other long-term assets.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For investments in an investee over which we do not have significant influence and which does not have a readily determinable fair value, we carry the investment at cost and only adjust for other-than-temporary declines in fair value and distributions of earnings that exceed our share of earnings since we made our investment. We regularly evaluate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ectPr>
          <w:pgSz w:w="11900" w:h="16842" w:orient="portrait"/>
          <w:cols w:equalWidth="0" w:num="1">
            <w:col w:w="11400"/>
          </w:cols>
          <w:pgMar w:left="240" w:top="125" w:right="259" w:bottom="0" w:gutter="0" w:footer="0" w:header="0"/>
        </w:sectPr>
      </w:pPr>
    </w:p>
    <w:bookmarkStart w:id="44" w:name="page45"/>
    <w:bookmarkEnd w:id="44"/>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Investments in Associated Companies</w:t>
      </w:r>
    </w:p>
    <w:p>
      <w:pPr>
        <w:spacing w:after="0" w:line="225" w:lineRule="exact"/>
        <w:rPr>
          <w:sz w:val="20"/>
          <w:szCs w:val="20"/>
          <w:color w:val="auto"/>
        </w:rPr>
      </w:pPr>
    </w:p>
    <w:p>
      <w:pPr>
        <w:jc w:val="both"/>
        <w:ind w:right="180" w:firstLine="510"/>
        <w:spacing w:after="0" w:line="264" w:lineRule="auto"/>
        <w:rPr>
          <w:sz w:val="20"/>
          <w:szCs w:val="20"/>
          <w:color w:val="auto"/>
        </w:rPr>
      </w:pPr>
      <w:r>
        <w:rPr>
          <w:rFonts w:ascii="Arial" w:cs="Arial" w:eastAsia="Arial" w:hAnsi="Arial"/>
          <w:sz w:val="18"/>
          <w:szCs w:val="18"/>
          <w:color w:val="auto"/>
        </w:rPr>
        <w:t>Investments in associated companies in which we are in a position to exercise significant influence by participating in, but not controlling or jointly controlling, the financial and operating policies are accounted for using the equity method and are reported under other long-term assets in the consolidated balance sheets.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carrying values of long-lived assets are reviewed for impairment whenever events or changes in circumstances indicate that the carrying value of an asset may not be recoverable. Based on the existence of one or more indicators of impairment, we measure any impairment of long-lived assets using the projected discounted cash flow method. The estimation of future cash flows requires significant management judgment based on our historical results and anticipated results and is subject to many factors. The discount rate that is commensurate with the risk inherent in our business model is determined by our management.</w:t>
      </w:r>
    </w:p>
    <w:p>
      <w:pPr>
        <w:spacing w:after="0" w:line="18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An impairment loss would be recorded if we determined that the carrying value of long-lived assets may not be recoverable. The impairment to be recognized is measured by the amount by which the carrying values of the assets exceed the fair value of the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awards of stock options, we measure the cost of employee services received in exchange for the award, measured at the grant date fair value of the award. We recognize the share-based compensation costs, net of a forfeiture rate, on a straight-line basis over the requisite service period of the award, which is the vesting term (generally three to four years for stock options). We use the Black-Scholes option pricing model to determine the fair value of stock options and account for share-based compensation cost using an estimated forfeiture rate at the time of grant and revised, if necessary, in subsequent periods if actual forfeitures differ from those estimates.</w:t>
      </w:r>
    </w:p>
    <w:p>
      <w:pPr>
        <w:spacing w:after="0" w:line="18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Under our RSU Plan, we issue restricted share units, or RSUs, to our employees, directors and consultants with performance conditions and service vesting periods ranging from one year to five years. Some of the RSUs issued are to be settled, at our discretion, in shares or cash upon vesting based on the share price at grant date. At each reporting period, we evaluate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shares only is measured based on the fair value of shares when all conditions to establish the grant date have been met. The compensation cost of RSUs to be settled either in shares or cash at our discretion is remeasured until the date when settlement in shares or cash is determined by us.</w:t>
      </w:r>
    </w:p>
    <w:p>
      <w:pPr>
        <w:spacing w:after="0" w:line="189" w:lineRule="exact"/>
        <w:rPr>
          <w:sz w:val="20"/>
          <w:szCs w:val="20"/>
          <w:color w:val="auto"/>
        </w:rPr>
      </w:pPr>
    </w:p>
    <w:p>
      <w:pPr>
        <w:ind w:right="120" w:firstLine="510"/>
        <w:spacing w:after="0" w:line="276" w:lineRule="auto"/>
        <w:rPr>
          <w:sz w:val="20"/>
          <w:szCs w:val="20"/>
          <w:color w:val="auto"/>
        </w:rPr>
      </w:pPr>
      <w:r>
        <w:rPr>
          <w:rFonts w:ascii="Arial" w:cs="Arial" w:eastAsia="Arial" w:hAnsi="Arial"/>
          <w:sz w:val="17"/>
          <w:szCs w:val="17"/>
          <w:color w:val="auto"/>
        </w:rPr>
        <w:t>We record share-based compensation on our consolidated statements of operations and comprehensive income with the corresponding credit to the additional paid-in-capital for share options and RSUs to the extent that such awards are to be settled only in shares. On the other hand, for RSUs which will either be settled in shares or cash as discussed above, we continue to mark to market such awards and, in accordance with the vesting schedules of such awards, record the resulting potential liabilities under other long-term payables and accrued liabilities (which totaled RMB106.2 million (US$17.1 million) and RMB137.0 million (US$22.1 million), respectively, as of December 31, 2014).</w:t>
      </w:r>
    </w:p>
    <w:p>
      <w:pPr>
        <w:spacing w:after="0" w:line="17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Under the Lede Plan, Lede Inc. granted its share options to certain of our employees. The options expire in six years from the date of grant and either vest or commence vesting based on certain conditions being met. We adopt the binomial option pricing model to determine the fair value of stock options and account for share-based compensation cost using an estimated forfeiture rate. As of December 31, 2014, there was RMB94.0 million (US$15.2 million) of unrecognized compensation costs under the Lede Plan.</w:t>
      </w:r>
    </w:p>
    <w:p>
      <w:pPr>
        <w:spacing w:after="0" w:line="18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Forfeitures were estimated based on our weighted average historical forfeiture rate of the past five years. Differences between actual and estimated forfeitures are expensed in the period that the differences occur.</w:t>
      </w:r>
    </w:p>
    <w:p>
      <w:pPr>
        <w:spacing w:after="0" w:line="170" w:lineRule="exact"/>
        <w:rPr>
          <w:sz w:val="20"/>
          <w:szCs w:val="20"/>
          <w:color w:val="auto"/>
        </w:rPr>
      </w:pPr>
    </w:p>
    <w:p>
      <w:pPr>
        <w:ind w:right="20" w:firstLine="506"/>
        <w:spacing w:after="0" w:line="279" w:lineRule="auto"/>
        <w:rPr>
          <w:sz w:val="20"/>
          <w:szCs w:val="20"/>
          <w:color w:val="auto"/>
        </w:rPr>
      </w:pPr>
      <w:r>
        <w:rPr>
          <w:rFonts w:ascii="Arial" w:cs="Arial" w:eastAsia="Arial" w:hAnsi="Arial"/>
          <w:sz w:val="17"/>
          <w:szCs w:val="17"/>
          <w:color w:val="auto"/>
        </w:rPr>
        <w:t>Our assumptions are based on our historical experience and expectation of future development. The assumptions used in calculating the fair value of share-based awards and related share-based compensation expenses represent management’s best estimates, but these estimates involve inherent uncertainties and the application of management judgment. As a result, if factors change or different assumptions are used, particularly with respect to the volatility of our shares, our share-based compensation expense could be materially different for any period.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table sets forth a summary of our audited consolidated statements of operations for the periods indicated both in Renminbi and as a percentage of total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1"/>
              </w:rPr>
              <w:t>For the year ended December 31,</w:t>
            </w: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13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RMB’000</w:t>
            </w:r>
          </w:p>
        </w:tc>
        <w:tc>
          <w:tcPr>
            <w:tcW w:w="74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3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RMB’000</w:t>
            </w:r>
          </w:p>
        </w:tc>
        <w:tc>
          <w:tcPr>
            <w:tcW w:w="7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3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RMB’000</w:t>
            </w:r>
          </w:p>
        </w:tc>
        <w:tc>
          <w:tcPr>
            <w:tcW w:w="7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178"/>
        </w:trPr>
        <w:tc>
          <w:tcPr>
            <w:tcW w:w="34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Statement of Operations and</w:t>
            </w: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Online game services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7,287,063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8,308,618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9,815,019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Advertising services</w:t>
            </w:r>
          </w:p>
        </w:tc>
        <w:tc>
          <w:tcPr>
            <w:tcW w:w="1140" w:type="dxa"/>
            <w:vAlign w:val="bottom"/>
          </w:tcPr>
          <w:p>
            <w:pPr>
              <w:jc w:val="right"/>
              <w:spacing w:after="0"/>
              <w:rPr>
                <w:sz w:val="20"/>
                <w:szCs w:val="20"/>
                <w:color w:val="auto"/>
              </w:rPr>
            </w:pPr>
            <w:r>
              <w:rPr>
                <w:rFonts w:ascii="Arial" w:cs="Arial" w:eastAsia="Arial" w:hAnsi="Arial"/>
                <w:sz w:val="18"/>
                <w:szCs w:val="18"/>
                <w:color w:val="auto"/>
              </w:rPr>
              <w:t>850,157</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1,094,623</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1,551,652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r>
      <w:tr>
        <w:trPr>
          <w:trHeight w:val="178"/>
        </w:trPr>
        <w:tc>
          <w:tcPr>
            <w:tcW w:w="3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ectPr>
          <w:pgSz w:w="11900" w:h="16900" w:orient="portrait"/>
          <w:cols w:equalWidth="0" w:num="1">
            <w:col w:w="11380"/>
          </w:cols>
          <w:pgMar w:left="240" w:top="341" w:right="27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E-mail, e-commerce and others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368,014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1,113,773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8,379,961</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9,771,255</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12,480,444</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tax 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(575,080)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(767,610)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revenues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8,200,956</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9,196,175</w:t>
            </w:r>
          </w:p>
        </w:tc>
        <w:tc>
          <w:tcPr>
            <w:tcW w:w="2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11,712,834</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Online game services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(1,872,734)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(1,649,803)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(2,111,701)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Advertising services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(474,165)</w:t>
            </w: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(461,286)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(528,665)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E-mail, e-commerce and others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(231,168)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(367,427)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(621,178)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revenues</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(2,578,067)</w:t>
            </w:r>
          </w:p>
        </w:tc>
        <w:tc>
          <w:tcPr>
            <w:tcW w:w="22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(2,478,516)</w:t>
            </w:r>
          </w:p>
        </w:tc>
        <w:tc>
          <w:tcPr>
            <w:tcW w:w="220" w:type="dxa"/>
            <w:vAlign w:val="bottom"/>
            <w:vMerge w:val="continue"/>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140" w:type="dxa"/>
            <w:vAlign w:val="bottom"/>
          </w:tcPr>
          <w:p>
            <w:pPr>
              <w:jc w:val="right"/>
              <w:spacing w:after="0"/>
              <w:rPr>
                <w:sz w:val="20"/>
                <w:szCs w:val="20"/>
                <w:color w:val="auto"/>
              </w:rPr>
            </w:pPr>
            <w:r>
              <w:rPr>
                <w:rFonts w:ascii="Arial" w:cs="Arial" w:eastAsia="Arial" w:hAnsi="Arial"/>
                <w:sz w:val="18"/>
                <w:szCs w:val="18"/>
                <w:color w:val="auto"/>
              </w:rPr>
              <w:t>(3,261,544)</w:t>
            </w:r>
          </w:p>
        </w:tc>
        <w:tc>
          <w:tcPr>
            <w:tcW w:w="200" w:type="dxa"/>
            <w:vAlign w:val="bottom"/>
            <w:vMerge w:val="continue"/>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5,622,889</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(906,707)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(1,093,612)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(1,894,998)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(286,223)</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(349,832)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(467,669)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(718,315)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(921,618)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(1,323,498)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(1,911,245)</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(2,365,062)</w:t>
            </w:r>
          </w:p>
        </w:tc>
        <w:tc>
          <w:tcPr>
            <w:tcW w:w="2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(3,686,165)</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3,711,644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4,352,597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4,765,125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43,770</w:t>
            </w: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37,255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27,373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506,181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601,502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Exchange losses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(15,348)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(17,998)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95,136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82,438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before tax</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4,278,212</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4,975,821</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5,458,440</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(691,642)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(530,603)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(662,735)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3,586,570</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4,445,218</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4,795,705</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Arial" w:cs="Arial" w:eastAsia="Arial" w:hAnsi="Arial"/>
                <w:sz w:val="18"/>
                <w:szCs w:val="18"/>
                <w:color w:val="auto"/>
              </w:rPr>
              <w:t>Net income attributable to NetEase, Inc.’s</w:t>
            </w: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3,637,452</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4,443,910</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4,756,623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3,586,570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spacing w:after="0" w:line="195" w:lineRule="exact"/>
              <w:rPr>
                <w:sz w:val="20"/>
                <w:szCs w:val="20"/>
                <w:color w:val="auto"/>
              </w:rPr>
            </w:pPr>
            <w:r>
              <w:rPr>
                <w:rFonts w:ascii="Arial" w:cs="Arial" w:eastAsia="Arial" w:hAnsi="Arial"/>
                <w:sz w:val="18"/>
                <w:szCs w:val="18"/>
                <w:color w:val="auto"/>
              </w:rPr>
              <w:t>Add: Comprehensive loss (income)</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50,882</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(1,308)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(39,082)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3,637,452</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Borders>
              <w:left w:val="single" w:sz="8" w:color="CCEEFF"/>
            </w:tcBorders>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4,443,910</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4,756,623</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NetEase, Inc.’s shareholders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 cost included in: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100,540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165,708</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169,621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17,967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33,374</w:t>
            </w: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48,350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51,475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74,283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104,928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jc w:val="right"/>
              <w:ind w:right="105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Total net revenues increased by 27.4% to RMB11,712.8 million (US$1,887.8 million) in 2014 from RMB9,196.2 million in 2013. Net revenues from online games services, advertising services, and e-mail, e-commerce and others constituted 79.1%, 11.9% and 9.0%, respectively, of our total net revenues in 2014. This compares with 85.5%, 10.8% and 3.7%, respectively, in 2013. Revenue generated from game licensing represented 12.9% and 9.8% of our total net revenues in 2014 and 2013,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Net revenues from online games services increased by 17.8% to RMB9,266.2 million (US$1,493.4 million) in 2014 from RMB7,864.5 million in 2013. The increase was principally attributable to increased revenues from our self-developed games such as Fantasy Westward Journey II, New Westward Journey Online II and various mobile games, as well as Hearthstone: Heroes of Warcraft, a game licensed from Blizzard, which was commercially launched in China in January 2014.</w:t>
      </w:r>
    </w:p>
    <w:p>
      <w:pPr>
        <w:spacing w:after="0" w:line="187" w:lineRule="exact"/>
        <w:rPr>
          <w:sz w:val="20"/>
          <w:szCs w:val="20"/>
          <w:color w:val="auto"/>
        </w:rPr>
      </w:pPr>
    </w:p>
    <w:p>
      <w:pPr>
        <w:ind w:right="80" w:firstLine="510"/>
        <w:spacing w:after="0" w:line="297" w:lineRule="auto"/>
        <w:rPr>
          <w:sz w:val="20"/>
          <w:szCs w:val="20"/>
          <w:color w:val="auto"/>
        </w:rPr>
      </w:pPr>
      <w:r>
        <w:rPr>
          <w:rFonts w:ascii="Arial" w:cs="Arial" w:eastAsia="Arial" w:hAnsi="Arial"/>
          <w:sz w:val="16"/>
          <w:szCs w:val="16"/>
          <w:color w:val="auto"/>
        </w:rPr>
        <w:t>Fantasy Westward Journey II, including its mobile version, and New Westward Journey Online II performed well during 2014. The continued growth in revenue of these games was mainly attributable to the launch of new expansion packs, successful promotional activities and increased attraction of other value-added services for these games in 2014, as well as the launch of an item-based version of New Westward Journey Online II in August 2014. We also launched various self-developed and licensed mobile games including Mini Westward Journey, Stay Calm! My Lord!, Battle to the West, The World HD, Dark Blade, World Soccer Collections and Ninja Must Die 2 in 2014. These mobile games served to expand and diversify our online game business portfolio.</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Net revenues from advertising services increased by 41.5% to RMB1,397.1 million (US$225.2 million) in 2014 from RMB987.5 million in 2013. The increase in advertising services revenue in 2014 was driven by increased market demand, mainly from the automobile, communication services and foods and beverages sectors, and greater monetization of our mobile news application, as well as the impact of our partnership with the national football teams of Brazil and Spain to broadcast the 2014 FIFA World Cup.</w:t>
      </w:r>
    </w:p>
    <w:p>
      <w:pPr>
        <w:sectPr>
          <w:pgSz w:w="11900" w:h="16838" w:orient="portrait"/>
          <w:cols w:equalWidth="0" w:num="1">
            <w:col w:w="11460"/>
          </w:cols>
          <w:pgMar w:left="240" w:top="140" w:right="199" w:bottom="0" w:gutter="0" w:footer="0" w:header="0"/>
        </w:sectPr>
      </w:pPr>
    </w:p>
    <w:bookmarkStart w:id="46" w:name="page47"/>
    <w:bookmarkEnd w:id="46"/>
    <w:p>
      <w:pPr>
        <w:spacing w:after="0" w:line="2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Average net revenue per traditional advertiser (i.e., customers which do not advertise through our search services), which provide the substantial portion of our advertising revenue, increased to approximately RMB1.6 million (US$0.3 million) in 2014 from RMB1.3 million in 2013. The number of traditional advertisers using the NetEase websites increased to 784 in 2014 from 662 in 2013, with revenues from our top ten advertisers comprising 28.7% of our total advertising services revenues in 2014 as compared to 27.2% in 2013.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220" w:firstLine="510"/>
        <w:spacing w:after="0" w:line="264" w:lineRule="auto"/>
        <w:rPr>
          <w:sz w:val="20"/>
          <w:szCs w:val="20"/>
          <w:color w:val="auto"/>
        </w:rPr>
      </w:pPr>
      <w:r>
        <w:rPr>
          <w:rFonts w:ascii="Arial" w:cs="Arial" w:eastAsia="Arial" w:hAnsi="Arial"/>
          <w:sz w:val="18"/>
          <w:szCs w:val="18"/>
          <w:color w:val="auto"/>
        </w:rPr>
        <w:t>Net revenues from the e-mail, e-commerce and others segment increased by 204.9% to RMB1,049.6 million (US$169.2 million) in 2014 from RMB344.2 million in 2013. The increase mainly resulted from increased revenue from our e-commerce services related to third-party lottery and insurance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Our cost of revenues increased by 31.6% to RMB3,261.5 million (US$525.7 million) in 2014 from RMB2,478.5 million in 2013. The year-over-year increase was mainly due to an increase in technology costs, staff-related costs and costs of revenue sharing with distributors, developers and other third parties. In 2014, costs relating to online games services, advertising services and e-mail, e-commerce and others represented 64.7%, 16.3% and 19.0% of total cost of revenues, respectively, as compared with 66.6%, 18.6% and 14.8% of the cost of revenues, respectively, in 2013.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40" w:firstLine="506"/>
        <w:spacing w:after="0" w:line="277" w:lineRule="auto"/>
        <w:rPr>
          <w:sz w:val="20"/>
          <w:szCs w:val="20"/>
          <w:color w:val="auto"/>
        </w:rPr>
      </w:pPr>
      <w:r>
        <w:rPr>
          <w:rFonts w:ascii="Arial" w:cs="Arial" w:eastAsia="Arial" w:hAnsi="Arial"/>
          <w:sz w:val="18"/>
          <w:szCs w:val="18"/>
          <w:color w:val="auto"/>
        </w:rPr>
        <w:t>Cost of revenues from our online games services increased by 28.0% to RMB2,111.7 million (US$340.3 million) in 2014 from RMB1,649.8 million in 2013. The increase in cost of revenues in 2014 was primarily due to a combination of the following factors:</w:t>
      </w:r>
    </w:p>
    <w:p>
      <w:pPr>
        <w:spacing w:after="0" w:line="170" w:lineRule="exact"/>
        <w:rPr>
          <w:sz w:val="20"/>
          <w:szCs w:val="20"/>
          <w:color w:val="auto"/>
        </w:rPr>
      </w:pPr>
    </w:p>
    <w:p>
      <w:pPr>
        <w:ind w:left="1020" w:right="60" w:hanging="502"/>
        <w:spacing w:after="0" w:line="259" w:lineRule="auto"/>
        <w:tabs>
          <w:tab w:leader="none" w:pos="9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costs increased by RMB227.7 million (US$36.7 million) to RMB961.8 million (US$155.0 million) in 2014 from RMB734.1 million in 2013, mainly due to an increase in royalty fee payments of RMB172.8 million (US$27.8 million) in line with the increase of revenue from Blizzard’s Hearthstone: Heroes of Warcraft, and a RMB52.6 million (US$8.5 million) increase in outsourcing content design costs for self-developed games.</w:t>
      </w:r>
    </w:p>
    <w:p>
      <w:pPr>
        <w:spacing w:after="0" w:line="186" w:lineRule="exact"/>
        <w:rPr>
          <w:rFonts w:ascii="Arial" w:cs="Arial" w:eastAsia="Arial" w:hAnsi="Arial"/>
          <w:sz w:val="18"/>
          <w:szCs w:val="18"/>
          <w:color w:val="auto"/>
        </w:rPr>
      </w:pPr>
    </w:p>
    <w:p>
      <w:pPr>
        <w:ind w:left="1020" w:right="80" w:hanging="506"/>
        <w:spacing w:after="0" w:line="264" w:lineRule="auto"/>
        <w:tabs>
          <w:tab w:leader="none" w:pos="9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sharing costs with distributors, developers and other third parties related to mobile games increased by RMB174.9 million (US$28.2 million) to RMB188.8 million (US$30.4 million) in 2014 from RMB13.9 million in 2013 primarily due to the launch of our self-developed and licensed mobile games in 2014.</w:t>
      </w:r>
    </w:p>
    <w:p>
      <w:pPr>
        <w:spacing w:after="0" w:line="181" w:lineRule="exact"/>
        <w:rPr>
          <w:rFonts w:ascii="Arial" w:cs="Arial" w:eastAsia="Arial" w:hAnsi="Arial"/>
          <w:sz w:val="18"/>
          <w:szCs w:val="18"/>
          <w:color w:val="auto"/>
        </w:rPr>
      </w:pPr>
    </w:p>
    <w:p>
      <w:pPr>
        <w:ind w:left="1020" w:right="20" w:hanging="502"/>
        <w:spacing w:after="0" w:line="279" w:lineRule="auto"/>
        <w:tabs>
          <w:tab w:leader="none" w:pos="987"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Staff-related costs increased by RMB79.7 million (US$12.8 million) to RMB774.3 million (US$124.8 million) in 2014 from RMB694.6 million in 2013, mainly as a result of an increase in the level of salaries and bonuses and an increase in the number of employees. The number of full time employees in our online games business increased to 5,673 as of December 31, 2014 from 4,132 as of December 31, 2013, including 645 employees in the customer service function to support the operation of World of Warcraft.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revenues from our advertising services increased by 14.6% to RMB528.7 million (US$85.2 million) in 2014 from RMB461.3 million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revenues in 2014 was primarily due to a combination of the following factors:</w:t>
      </w:r>
    </w:p>
    <w:p>
      <w:pPr>
        <w:spacing w:after="0" w:line="211" w:lineRule="exact"/>
        <w:rPr>
          <w:sz w:val="20"/>
          <w:szCs w:val="20"/>
          <w:color w:val="auto"/>
        </w:rPr>
      </w:pPr>
    </w:p>
    <w:p>
      <w:pPr>
        <w:ind w:left="1020" w:right="240" w:hanging="502"/>
        <w:spacing w:after="0" w:line="277" w:lineRule="auto"/>
        <w:tabs>
          <w:tab w:leader="none" w:pos="9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costs increased by RMB29.1 million (US$4.7 million) to RMB93.0 million (US$15.0 million) in 2014 from RMB63.9 million in 2013, mainly due to the content costs incurred for our partnership in relation to the 2014 FIFA World Cup.</w:t>
      </w:r>
    </w:p>
    <w:p>
      <w:pPr>
        <w:spacing w:after="0" w:line="170" w:lineRule="exact"/>
        <w:rPr>
          <w:rFonts w:ascii="Arial" w:cs="Arial" w:eastAsia="Arial" w:hAnsi="Arial"/>
          <w:sz w:val="18"/>
          <w:szCs w:val="18"/>
          <w:color w:val="auto"/>
        </w:rPr>
      </w:pPr>
    </w:p>
    <w:p>
      <w:pPr>
        <w:ind w:left="1020" w:right="20" w:hanging="502"/>
        <w:spacing w:after="0" w:line="264" w:lineRule="auto"/>
        <w:tabs>
          <w:tab w:leader="none" w:pos="9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Staff-related costs increased by RMB25.5 million (US$4.1 million) to RMB274.9 million (US$44.3 million) in 2014 from RMB249.4 million in 2013, mainly as a result of an increase in salaries and other compensation payments, such as bonuses and welfare benefits, and also due to an expansion of the business.</w:t>
      </w:r>
    </w:p>
    <w:p>
      <w:pPr>
        <w:spacing w:after="0" w:line="181" w:lineRule="exact"/>
        <w:rPr>
          <w:rFonts w:ascii="Arial" w:cs="Arial" w:eastAsia="Arial" w:hAnsi="Arial"/>
          <w:sz w:val="18"/>
          <w:szCs w:val="18"/>
          <w:color w:val="auto"/>
        </w:rPr>
      </w:pPr>
    </w:p>
    <w:p>
      <w:pPr>
        <w:ind w:left="1000" w:hanging="482"/>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Technology service cost such as bandwidth and server custody fees increased by RMB6.6 million (US$1.1 million) to RMB41.7 million</w:t>
      </w:r>
    </w:p>
    <w:p>
      <w:pPr>
        <w:spacing w:after="0" w:line="35" w:lineRule="exact"/>
        <w:rPr>
          <w:sz w:val="20"/>
          <w:szCs w:val="20"/>
          <w:color w:val="auto"/>
        </w:rPr>
      </w:pPr>
    </w:p>
    <w:p>
      <w:pPr>
        <w:ind w:left="1020" w:right="220"/>
        <w:spacing w:after="0" w:line="261" w:lineRule="auto"/>
        <w:rPr>
          <w:sz w:val="20"/>
          <w:szCs w:val="20"/>
          <w:color w:val="auto"/>
        </w:rPr>
      </w:pPr>
      <w:r>
        <w:rPr>
          <w:rFonts w:ascii="Arial" w:cs="Arial" w:eastAsia="Arial" w:hAnsi="Arial"/>
          <w:sz w:val="18"/>
          <w:szCs w:val="18"/>
          <w:color w:val="auto"/>
        </w:rPr>
        <w:t>(US$6.7 million) in 2014 from RMB35.1 million in 2013, mainly as a result of an increase in bandwidth usage by our advertising business in 2014.</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Cost of revenues from our e-mail, e-commerce and other services increased by 69.1% to RMB621.2 million (US$100.1 million) in 2014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RMB367.4 million in 2013. The increase in cost of revenues in 2014 was primarily due to a combination of the following factors:</w:t>
      </w:r>
    </w:p>
    <w:p>
      <w:pPr>
        <w:spacing w:after="0" w:line="211" w:lineRule="exact"/>
        <w:rPr>
          <w:sz w:val="20"/>
          <w:szCs w:val="20"/>
          <w:color w:val="auto"/>
        </w:rPr>
      </w:pPr>
    </w:p>
    <w:p>
      <w:pPr>
        <w:ind w:left="1020" w:right="140" w:hanging="502"/>
        <w:spacing w:after="0" w:line="308" w:lineRule="auto"/>
        <w:tabs>
          <w:tab w:leader="none" w:pos="987"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costs paid to third-party service providers increased by RMB111.9 million (US$18.0 million) to RMB169.9 million (US$27.4 million) in 2014 from RMB58.0 million in 2013, which was in line with the growth of our e-commerce and e-mail services.</w:t>
      </w:r>
    </w:p>
    <w:p>
      <w:pPr>
        <w:spacing w:after="0" w:line="146" w:lineRule="exact"/>
        <w:rPr>
          <w:rFonts w:ascii="Arial" w:cs="Arial" w:eastAsia="Arial" w:hAnsi="Arial"/>
          <w:sz w:val="17"/>
          <w:szCs w:val="17"/>
          <w:color w:val="auto"/>
        </w:rPr>
      </w:pPr>
    </w:p>
    <w:p>
      <w:pPr>
        <w:ind w:left="1020" w:hanging="502"/>
        <w:spacing w:after="0" w:line="277" w:lineRule="auto"/>
        <w:tabs>
          <w:tab w:leader="none" w:pos="9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Staff-related cost increased by RMB85.5 million (US$13.8 million) to RMB210.4 million (US$33.9 million) in 2014 from RMB124.9 million in 2013, mainly as a result of an increase in salaries and bonuses and an increase in the number of employees.</w:t>
      </w:r>
    </w:p>
    <w:p>
      <w:pPr>
        <w:spacing w:after="0" w:line="170" w:lineRule="exact"/>
        <w:rPr>
          <w:rFonts w:ascii="Arial" w:cs="Arial" w:eastAsia="Arial" w:hAnsi="Arial"/>
          <w:sz w:val="18"/>
          <w:szCs w:val="18"/>
          <w:color w:val="auto"/>
        </w:rPr>
      </w:pPr>
    </w:p>
    <w:p>
      <w:pPr>
        <w:ind w:left="1020" w:hanging="501"/>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Technology service cost such as bandwidth and server custody fees increased by RMB30.0 million (US$4.8 million) to RMB121.5 million</w:t>
      </w:r>
    </w:p>
    <w:p>
      <w:pPr>
        <w:spacing w:after="0" w:line="35" w:lineRule="exact"/>
        <w:rPr>
          <w:sz w:val="20"/>
          <w:szCs w:val="20"/>
          <w:color w:val="auto"/>
        </w:rPr>
      </w:pPr>
    </w:p>
    <w:p>
      <w:pPr>
        <w:ind w:left="1060" w:right="300"/>
        <w:spacing w:after="0" w:line="261" w:lineRule="auto"/>
        <w:rPr>
          <w:sz w:val="20"/>
          <w:szCs w:val="20"/>
          <w:color w:val="auto"/>
        </w:rPr>
      </w:pPr>
      <w:r>
        <w:rPr>
          <w:rFonts w:ascii="Arial" w:cs="Arial" w:eastAsia="Arial" w:hAnsi="Arial"/>
          <w:sz w:val="18"/>
          <w:szCs w:val="18"/>
          <w:color w:val="auto"/>
        </w:rPr>
        <w:t>(US$19.6 million) in 2014 from RMB91.5 million in 2013, mainly as a result of an increase in bandwidth usage by our e-mail, e-commerce and other value added services in 2014.</w:t>
      </w:r>
    </w:p>
    <w:p>
      <w:pPr>
        <w:spacing w:after="0" w:line="184" w:lineRule="exact"/>
        <w:rPr>
          <w:sz w:val="20"/>
          <w:szCs w:val="20"/>
          <w:color w:val="auto"/>
        </w:rPr>
      </w:pPr>
    </w:p>
    <w:p>
      <w:pPr>
        <w:ind w:left="1060" w:right="380" w:hanging="541"/>
        <w:spacing w:after="0" w:line="277" w:lineRule="auto"/>
        <w:tabs>
          <w:tab w:leader="none" w:pos="10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cost increased by RMB20.2 million (US$3.3 million) to RMB40.2 million (US$6.5 million) in 2014 from RMB20.0 million in 2013 primarily due to the amortization of license fees related to Cloud Music.</w:t>
      </w:r>
    </w:p>
    <w:p>
      <w:pPr>
        <w:sectPr>
          <w:pgSz w:w="11900" w:h="16861" w:orient="portrait"/>
          <w:cols w:equalWidth="0" w:num="1">
            <w:col w:w="11420"/>
          </w:cols>
          <w:pgMar w:left="240" w:top="341" w:right="239" w:bottom="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profit increased by 25.8% to RMB8,451.3 million (US$1,362.1 million) in 2014 from RMB6,717.7 million in 2013.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2013 and 2014 were calculated by dividing our gross profits over our net revenues for the corresponding type of services.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38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22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22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US$’000</w:t>
            </w:r>
          </w:p>
        </w:tc>
        <w:tc>
          <w:tcPr>
            <w:tcW w:w="24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6,214,661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7,154,457</w:t>
            </w:r>
          </w:p>
        </w:tc>
        <w:tc>
          <w:tcPr>
            <w:tcW w:w="1220" w:type="dxa"/>
            <w:vAlign w:val="bottom"/>
          </w:tcPr>
          <w:p>
            <w:pPr>
              <w:jc w:val="right"/>
              <w:spacing w:after="0"/>
              <w:rPr>
                <w:sz w:val="20"/>
                <w:szCs w:val="20"/>
                <w:color w:val="auto"/>
              </w:rPr>
            </w:pPr>
            <w:r>
              <w:rPr>
                <w:rFonts w:ascii="Arial" w:cs="Arial" w:eastAsia="Arial" w:hAnsi="Arial"/>
                <w:sz w:val="18"/>
                <w:szCs w:val="18"/>
                <w:color w:val="auto"/>
              </w:rPr>
              <w:t>1,153,090</w:t>
            </w:r>
          </w:p>
        </w:tc>
        <w:tc>
          <w:tcPr>
            <w:tcW w:w="2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526,181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868,404</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139,961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(23,183)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428,429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69,050</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1,362,101</w:t>
            </w:r>
          </w:p>
        </w:tc>
        <w:tc>
          <w:tcPr>
            <w:tcW w:w="24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 margin: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79.0%</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77.2%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53.3%</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40.8%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40.8%</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40" w:firstLine="510"/>
        <w:spacing w:after="0" w:line="297" w:lineRule="auto"/>
        <w:rPr>
          <w:sz w:val="20"/>
          <w:szCs w:val="20"/>
          <w:color w:val="auto"/>
        </w:rPr>
      </w:pPr>
      <w:r>
        <w:rPr>
          <w:rFonts w:ascii="Arial" w:cs="Arial" w:eastAsia="Arial" w:hAnsi="Arial"/>
          <w:sz w:val="16"/>
          <w:szCs w:val="16"/>
          <w:color w:val="auto"/>
        </w:rPr>
        <w:t>The slight decrease of gross profit margin for online game services was mainly due to the increased revenues contribution from mobile games and licensed games, which have relatively lower gross profit margins, as a percentage of NetEase’s total online game revenues. The increase in gross profit margin for advertising services was mainly due to the enhanced economies of scale driven by revenue growth in our portal business. The increase in gross profit margin for e-mail, e-commerce and others business was mainly due to increased revenue from NetEase’s e-commerce business, which has a relatively higher gross profit margin as the revenue from such services is recognized on a net basis after deducting the related costs of such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Total operating expenses increased by 55.9% to RMB3,686.2 million (US$594.1 million) in 2014 from RMB2,365.1 million in 2013 as a result of an increase in selling and marketing expenses, general and administrative expenses and research and development expenses.</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Selling and marketing expenses increased by 73.3% to RMB1,895.0 million (US$305.4 million) in 2014 from RMB1,093.6 million in 2013, primarily due to a combination of the following factors:</w:t>
      </w:r>
    </w:p>
    <w:p>
      <w:pPr>
        <w:spacing w:after="0" w:line="170" w:lineRule="exact"/>
        <w:rPr>
          <w:sz w:val="20"/>
          <w:szCs w:val="20"/>
          <w:color w:val="auto"/>
        </w:rPr>
      </w:pPr>
    </w:p>
    <w:p>
      <w:pPr>
        <w:ind w:left="1020" w:right="140" w:hanging="502"/>
        <w:spacing w:after="0" w:line="257" w:lineRule="auto"/>
        <w:tabs>
          <w:tab w:leader="none" w:pos="9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marketing costs of approximately RMB657.6 million (US$106.0 million) in 2014 resulting from increased marketing spending on media and outdoor branding promotion for our e-commerce and advertising services business, mainly in relation to the 2014 FIFA World Cup, and increased advertising and marketing promotional activities related to various online games, including Fantasy Westward Journey II, New Westward Journey Online II, Blizzard’s World of Warcraft and Hearthstone: Heroes of Warcraft, and our mobile games, such as Battle to the West.</w:t>
      </w:r>
    </w:p>
    <w:p>
      <w:pPr>
        <w:spacing w:after="0" w:line="188" w:lineRule="exact"/>
        <w:rPr>
          <w:rFonts w:ascii="Arial" w:cs="Arial" w:eastAsia="Arial" w:hAnsi="Arial"/>
          <w:sz w:val="18"/>
          <w:szCs w:val="18"/>
          <w:color w:val="auto"/>
        </w:rPr>
      </w:pPr>
    </w:p>
    <w:p>
      <w:pPr>
        <w:ind w:left="1020" w:right="140" w:hanging="502"/>
        <w:spacing w:after="0" w:line="277" w:lineRule="auto"/>
        <w:tabs>
          <w:tab w:leader="none" w:pos="9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staff-related costs of our sales team of approximately RMB111.0 million (US$17.9 million) in 2014, primarily driven by higher compensation levels and performance-related bonus accruals for our online game and advertising promotion teams.</w:t>
      </w:r>
    </w:p>
    <w:p>
      <w:pPr>
        <w:spacing w:after="0" w:line="170" w:lineRule="exact"/>
        <w:rPr>
          <w:rFonts w:ascii="Arial" w:cs="Arial" w:eastAsia="Arial" w:hAnsi="Arial"/>
          <w:sz w:val="18"/>
          <w:szCs w:val="18"/>
          <w:color w:val="auto"/>
        </w:rPr>
      </w:pPr>
    </w:p>
    <w:p>
      <w:pPr>
        <w:ind w:left="1020" w:right="180" w:hanging="502"/>
        <w:spacing w:after="0" w:line="277" w:lineRule="auto"/>
        <w:tabs>
          <w:tab w:leader="none" w:pos="9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other miscellaneous costs of approximately RMB23.4 million (US$3.8 million) in 2014 primarily driven by increased business expansion costs related to our advertising and online game business.</w:t>
      </w:r>
    </w:p>
    <w:p>
      <w:pPr>
        <w:spacing w:after="0" w:line="17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General and administrative expenses increased by 33.7% to RMB467.7 million (US$75.4 million) in 2014 from RMB349.8 million in 2013, primarily due to an increase in staff-related costs of approximately RMB74.5 million (US$12.0 million) in 2014 primarily driven by increased headcount, higher compensation levels and an increase in other miscellaneous costs of approximately RMB29.1 million (US$4.7 million) such as facility costs due to increased business expansion.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Research and development expenses increased by 43.6% to RMB1,323.5 million (US$213.3 million) in 2014 from RMB921.6 million in 2013, primarily due to a combination of the following factors:</w:t>
      </w:r>
    </w:p>
    <w:p>
      <w:pPr>
        <w:spacing w:after="0" w:line="170" w:lineRule="exact"/>
        <w:rPr>
          <w:sz w:val="20"/>
          <w:szCs w:val="20"/>
          <w:color w:val="auto"/>
        </w:rPr>
      </w:pPr>
    </w:p>
    <w:p>
      <w:pPr>
        <w:ind w:left="1060" w:right="120" w:hanging="541"/>
        <w:spacing w:after="0" w:line="264" w:lineRule="auto"/>
        <w:tabs>
          <w:tab w:leader="none" w:pos="10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RMB321.1 million (US$51.8 million) in 2014, mainly as a result of increased headcount of program developers in our game studio and research and development center in Hangzhou and higher salaries and other benefits paid to our research and development team during 2014, including share based compensation.</w:t>
      </w:r>
    </w:p>
    <w:p>
      <w:pPr>
        <w:spacing w:after="0" w:line="181" w:lineRule="exact"/>
        <w:rPr>
          <w:rFonts w:ascii="Arial" w:cs="Arial" w:eastAsia="Arial" w:hAnsi="Arial"/>
          <w:sz w:val="18"/>
          <w:szCs w:val="18"/>
          <w:color w:val="auto"/>
        </w:rPr>
      </w:pPr>
    </w:p>
    <w:p>
      <w:pPr>
        <w:ind w:left="1020" w:hanging="526"/>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technology costs mainly for game content design of approximately RMB48.6 million (US$7.8 million).</w:t>
      </w:r>
    </w:p>
    <w:p>
      <w:pPr>
        <w:spacing w:after="0" w:line="225" w:lineRule="exact"/>
        <w:rPr>
          <w:rFonts w:ascii="Arial" w:cs="Arial" w:eastAsia="Arial" w:hAnsi="Arial"/>
          <w:sz w:val="18"/>
          <w:szCs w:val="18"/>
          <w:color w:val="auto"/>
        </w:rPr>
      </w:pPr>
    </w:p>
    <w:p>
      <w:pPr>
        <w:ind w:left="1060" w:right="880" w:hanging="566"/>
        <w:spacing w:after="0" w:line="277" w:lineRule="auto"/>
        <w:tabs>
          <w:tab w:leader="none" w:pos="10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other miscellaneous cost of approximately RMB23.4 million (US$3.8 million) such as rental and utilities, mainly for development of our online game business.</w:t>
      </w:r>
    </w:p>
    <w:p>
      <w:pPr>
        <w:sectPr>
          <w:pgSz w:w="11900" w:h="16838" w:orient="portrait"/>
          <w:cols w:equalWidth="0" w:num="1">
            <w:col w:w="11400"/>
          </w:cols>
          <w:pgMar w:left="240" w:top="337" w:right="259" w:bottom="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As of December 31, 2014, the gross accounts receivable balance before any allowance for bad and doubtful accounts was RMB884.3 million</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(US$142.5 million). After providing for doubtful accounts in the amount of RMB11.2 million (US$1.8 million), the net balance of accounts receivable was RMB873.1 million (US$140.7 million) as of December 31, 2014. The allowances for doubtful accounts represented the provisions of RMB11.2 million (US$1.8 million) as of December 31 2014, as compared to the provision of RMB8.3 million as of December 31, 2013.</w:t>
      </w:r>
    </w:p>
    <w:p>
      <w:pPr>
        <w:spacing w:after="0" w:line="173" w:lineRule="exact"/>
        <w:rPr>
          <w:sz w:val="20"/>
          <w:szCs w:val="20"/>
          <w:color w:val="auto"/>
        </w:rPr>
      </w:pPr>
    </w:p>
    <w:p>
      <w:pPr>
        <w:ind w:right="220" w:firstLine="504"/>
        <w:spacing w:after="0" w:line="342" w:lineRule="auto"/>
        <w:rPr>
          <w:sz w:val="20"/>
          <w:szCs w:val="20"/>
          <w:color w:val="auto"/>
        </w:rPr>
      </w:pPr>
      <w:r>
        <w:rPr>
          <w:rFonts w:ascii="Arial" w:cs="Arial" w:eastAsia="Arial" w:hAnsi="Arial"/>
          <w:sz w:val="16"/>
          <w:szCs w:val="16"/>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2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No significant allowance for bad and doubtful accounts was provided in 2014. As of December 31, 2014, we had no single customer with a receivable balance exceeding 10% of our total accounts receivable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Other income in 2014 mainly consisted of interest income, investment income related to short-term investments and government incentives, offset in part by investment impairment loss related to one of our equity investments and foreign exchange loss. Interest income increased to RMB601.5 million (US$96.9 million) in 2014 from RMB506.2 million in 2013, primarily due to an increase in our total cash and cash equivalents and time deposit balance which increased by 14.0% to RMB21.2 billion (US$3.4 billion) as of December 31, 2014 from RMB18.6 billion as of December 31, 2013. We incurred interest expense of RMB19.6 million (US$3.2 million) in 2014 related to our short-term borrowings. Investment income related to short-term investments, which consisted of held-to-maturity investments of fixed-rate corporate bonds and other short-term investments of financial products issued by commercial banks with a maturity date within one year when purchased, was RMB64.2 million (US$10.4 million) in 2014, compared to RMB37.3 million in 2013. As of December 31, 2014, our short-term investments totaled approximately RMB2,058.6 million (US$331.8 million), compared to RMB901.2 million as of December 31, 2013. In 2014, we recognized an impairment provision of RMB24.0 million (US$3.9 million) related to one of our equity investments, compared to nil in 2013. In 2014, we received and recognized unconditional government incentives of RMB82.5million (US$13.3 million), compared to RMB103.3 million in 2013. We also reported a net foreign exchange loss of RMB18.0 million (US$2.9 million) in 2014, compared to a net foreign exchange loss of RMB15.3 million in 2013, which is primarily due to the translation loss arising from our U.S. dollar-denominated bank deposit and short-term loan balances as the exchange rate of the U.S. dollar against the RMB fluctuated over these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right="300" w:firstLine="486"/>
        <w:spacing w:after="0" w:line="312" w:lineRule="auto"/>
        <w:rPr>
          <w:sz w:val="20"/>
          <w:szCs w:val="20"/>
          <w:color w:val="auto"/>
        </w:rPr>
      </w:pPr>
      <w:r>
        <w:rPr>
          <w:rFonts w:ascii="Arial" w:cs="Arial" w:eastAsia="Arial" w:hAnsi="Arial"/>
          <w:sz w:val="16"/>
          <w:szCs w:val="16"/>
          <w:color w:val="auto"/>
        </w:rPr>
        <w:t>Income tax increased to RMB662.7 million (US$106.8 million) in 2014 from RMB530.6 million in 2013. Our effective tax rate in 2014 was 12.1% compared with 10.7% in 2013. The change in the effective tax rate was mainly due to a one-off tax benefit of RMB304.6 million that we recorded in 2013 due to the fact that certain of our subsidiaries were approved in 2013 as Key Software Enterprises with respect to fiscal years 2011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a result of the foregoing, net profit increased by 7.0% to RMB4,756.6 million (US$766.6 million) in 2014 from RMB4,443.9 million in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Total net revenues increased by 12.1% to RMB9,196.2 million in 2013 from RMB8,201.0 million in 2012. Net revenues from online games services, advertising services, and e-mail, e-commerce and others constituted 85.5%, 10.8% and 3.7%, respectively, of our total net revenues in 2013. This compares with 87.8%, 9.4% and 2.8%, respectively, in 2012. Revenue generated from game licensing represented 9.8% and 14.3% of our total net revenues in 2013 and 2012,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100" w:firstLine="510"/>
        <w:spacing w:after="0" w:line="312" w:lineRule="auto"/>
        <w:rPr>
          <w:sz w:val="20"/>
          <w:szCs w:val="20"/>
          <w:color w:val="auto"/>
        </w:rPr>
      </w:pPr>
      <w:r>
        <w:rPr>
          <w:rFonts w:ascii="Arial" w:cs="Arial" w:eastAsia="Arial" w:hAnsi="Arial"/>
          <w:sz w:val="16"/>
          <w:szCs w:val="16"/>
          <w:color w:val="auto"/>
        </w:rPr>
        <w:t>Net revenues from online games services increased by 9.2% to RMB7,864.5 million in 2013 from RMB7,200.6 million in 2012. The increase was principally attributable to increased revenues from our self-developed games such as Fantasy Westward Journey II, Kung Fu Master, New Westward Journey Online II, Heroes of Tang Dynasty II and Ghost II, which was partially offset by decreased revenues from games licensed from Blizzard.</w:t>
      </w:r>
    </w:p>
    <w:p>
      <w:pPr>
        <w:spacing w:after="0" w:line="14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Fantasy Westward Journey II and New Westward Journey Online II performed well during 2013. The continued growth in popularity of these games throughout 2013 was mainly attributable to the launch of comprehensive upgrades, successful promotional activities and introduction of other value-added services for these games in 2013. Kung Fu Master, our self-developed 2.5D MMORPG, has also been well received by players since the commencement of its beta testing in October 2012 and the release of new expansion packs during 2013. Heroes of Tang Dynasty II and Ghost II also contributed to the increase in revenue in 2013. On the other hand, revenue from World of Warcraft decreased in 2013 due to the life cycle of its last expansion pack, which was released in October 2012.</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Net revenues from advertising services increased by 28.7% to RMB987.5 million in 2013 from RMB767.5 million in 2012. The increase in advertising services revenue in 2013 was attributable to a combination of factors, including growth in the Chinese online advertising market and increasing appeal of NetEase websites to users, which improved portal and search traffic on those websites.</w:t>
      </w:r>
    </w:p>
    <w:p>
      <w:pPr>
        <w:spacing w:after="0" w:line="181"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Average net revenue per traditional advertiser (i.e., customers which do not advertise through our search services), which provide the substantial portion of our advertising revenue, increased to approximately RMB1.3 million in 2013 from RMB1.0 million in 2012. The number of traditional advertisers</w:t>
      </w:r>
    </w:p>
    <w:p>
      <w:pPr>
        <w:sectPr>
          <w:pgSz w:w="11900" w:h="16838" w:orient="portrait"/>
          <w:cols w:equalWidth="0" w:num="1">
            <w:col w:w="11420"/>
          </w:cols>
          <w:pgMar w:left="240" w:top="337" w:right="239" w:bottom="0" w:gutter="0" w:footer="0" w:header="0"/>
        </w:sectPr>
      </w:pPr>
    </w:p>
    <w:bookmarkStart w:id="49" w:name="page50"/>
    <w:bookmarkEnd w:id="49"/>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using the NetEase websites decreased to 662 in 2013 from 682 in 2012, with revenues from our top ten advertisers comprising 27.2% of our total advertising services revenues in 2013 as compared to 19.3% in 2012.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260" w:firstLine="510"/>
        <w:spacing w:after="0" w:line="264" w:lineRule="auto"/>
        <w:rPr>
          <w:sz w:val="20"/>
          <w:szCs w:val="20"/>
          <w:color w:val="auto"/>
        </w:rPr>
      </w:pPr>
      <w:r>
        <w:rPr>
          <w:rFonts w:ascii="Arial" w:cs="Arial" w:eastAsia="Arial" w:hAnsi="Arial"/>
          <w:sz w:val="18"/>
          <w:szCs w:val="18"/>
          <w:color w:val="auto"/>
        </w:rPr>
        <w:t>Net revenues from the e-mail, e-commerce and others segment increased by 47.8% to RMB344.2 million in 2013 from RMB232.9 million in 2012. The increase mainly resulted from increased revenue from e-commerce related services, e-mail services and the sale of game-related accessories, such as limited edition packages of several online games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cost of revenues decreased by 3.9% to RMB2,478.5 million in 2013 from RMB2,578.1 million in 2012. The year-over-year decrease was mainly due to a decrease in sales tax on intra-group revenue and decreased royalty and consulting fees and depreciation and amortization expenses related to World of Warcraft, which were partially offset by an increase in staff-related cost and content cost. In 2013, costs relating to online games services, advertising services and e-mail, e-commerce services and others represented 66.6%, 18.6% and 14.8% of total cost of revenues, respectively, as compared with 72.6%, 18.4% and 9.0% of the cost of revenues, respectively, in 2012.</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620" w:firstLine="506"/>
        <w:spacing w:after="0" w:line="277" w:lineRule="auto"/>
        <w:rPr>
          <w:sz w:val="20"/>
          <w:szCs w:val="20"/>
          <w:color w:val="auto"/>
        </w:rPr>
      </w:pPr>
      <w:r>
        <w:rPr>
          <w:rFonts w:ascii="Arial" w:cs="Arial" w:eastAsia="Arial" w:hAnsi="Arial"/>
          <w:sz w:val="18"/>
          <w:szCs w:val="18"/>
          <w:color w:val="auto"/>
        </w:rPr>
        <w:t>Cost of revenues from our online games services decreased by 11.9% to RMB1,649.8 million in 2013 from RMB1,872.7 million in 2012. The decrease in cost of revenues in 2013 was primarily due to a combination of the following factors:</w:t>
      </w:r>
    </w:p>
    <w:p>
      <w:pPr>
        <w:spacing w:after="0" w:line="170" w:lineRule="exact"/>
        <w:rPr>
          <w:sz w:val="20"/>
          <w:szCs w:val="20"/>
          <w:color w:val="auto"/>
        </w:rPr>
      </w:pPr>
    </w:p>
    <w:p>
      <w:pPr>
        <w:ind w:left="1020" w:right="160" w:hanging="506"/>
        <w:spacing w:after="0" w:line="264" w:lineRule="auto"/>
        <w:tabs>
          <w:tab w:leader="none" w:pos="9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tax on intra-group revenues related to online games decreased by RMB257.8 million to RMB94.6 million in 2013 from RMB352.4 million in 2012 primarily due to a change in the tax rules in China, which resulted in our online game revenues gradually becoming subject to value-added tax instead of business tax since 2013.</w:t>
      </w:r>
    </w:p>
    <w:p>
      <w:pPr>
        <w:spacing w:after="0" w:line="181" w:lineRule="exact"/>
        <w:rPr>
          <w:rFonts w:ascii="Arial" w:cs="Arial" w:eastAsia="Arial" w:hAnsi="Arial"/>
          <w:sz w:val="18"/>
          <w:szCs w:val="18"/>
          <w:color w:val="auto"/>
        </w:rPr>
      </w:pPr>
    </w:p>
    <w:p>
      <w:pPr>
        <w:ind w:left="1020" w:right="40" w:hanging="502"/>
        <w:spacing w:after="0" w:line="264" w:lineRule="auto"/>
        <w:tabs>
          <w:tab w:leader="none" w:pos="9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Depreciation and amortization costs decreased by RMB85.3 million to RMB54.1 million in 2013 from RMB139.4 million in 2012, mainly as a result of a decrease in amortization of license fees of RMB49.0 million associated with the operation of Blizzard licensed games and a decrease in server depreciation cost of RMB36.3 million.</w:t>
      </w:r>
    </w:p>
    <w:p>
      <w:pPr>
        <w:spacing w:after="0" w:line="181" w:lineRule="exact"/>
        <w:rPr>
          <w:rFonts w:ascii="Arial" w:cs="Arial" w:eastAsia="Arial" w:hAnsi="Arial"/>
          <w:sz w:val="18"/>
          <w:szCs w:val="18"/>
          <w:color w:val="auto"/>
        </w:rPr>
      </w:pPr>
    </w:p>
    <w:p>
      <w:pPr>
        <w:ind w:left="1020" w:right="100" w:hanging="502"/>
        <w:spacing w:after="0" w:line="264" w:lineRule="auto"/>
        <w:tabs>
          <w:tab w:leader="none" w:pos="9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Technology costs decreased by RMB51.3 million to RMB734.1 million in 2013 from RMB785.4 million in 2012, mainly due to a decrease in royalty payments of RMB115.7 million in line with the decrease of revenue from World of Warcraft, which was partially offset by a RMB70.7 million increase of outsourcing content design costs for self-developed games.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foregoing decrease was partially offset by the fact that staff-related costs increased by RMB176.6 million to RMB694.6 million in 2013 from RMB518.0 million in 2012, mainly as a result of an increase in the level of salaries and bonuses and an increase in the number of employees. The number of full time employees in our online games business increased to 4,132 as of December 31, 2013 from 3,645 as of December 31, 2012, including 748 employees in the customer service function to support the operation of World of Warcraft.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Cost of revenues from our advertising services decreased by 2.7% to RMB461.3 million in 2013 from RMB474.2 million in 2012. The decrease in cost of revenues in 2013 was primarily due to a combination of the following factors:</w:t>
      </w:r>
    </w:p>
    <w:p>
      <w:pPr>
        <w:spacing w:after="0" w:line="170" w:lineRule="exact"/>
        <w:rPr>
          <w:sz w:val="20"/>
          <w:szCs w:val="20"/>
          <w:color w:val="auto"/>
        </w:rPr>
      </w:pPr>
    </w:p>
    <w:p>
      <w:pPr>
        <w:ind w:left="1020" w:right="460" w:hanging="502"/>
        <w:spacing w:after="0" w:line="308" w:lineRule="auto"/>
        <w:tabs>
          <w:tab w:leader="none" w:pos="987"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Information costs decreased by RMB29.9 million to RMB63.9 million in 2013 from RMB93.8 million in 2012, mainly due to the fact that content costs incurred for certain major events in 2012 such as Euro Cup 2012 and the London Olympics did not recur in 2013.</w:t>
      </w:r>
    </w:p>
    <w:p>
      <w:pPr>
        <w:spacing w:after="0" w:line="146" w:lineRule="exact"/>
        <w:rPr>
          <w:rFonts w:ascii="Arial" w:cs="Arial" w:eastAsia="Arial" w:hAnsi="Arial"/>
          <w:sz w:val="17"/>
          <w:szCs w:val="17"/>
          <w:color w:val="auto"/>
        </w:rPr>
      </w:pPr>
    </w:p>
    <w:p>
      <w:pPr>
        <w:jc w:val="both"/>
        <w:ind w:left="1020" w:right="300" w:hanging="502"/>
        <w:spacing w:after="0" w:line="264" w:lineRule="auto"/>
        <w:tabs>
          <w:tab w:leader="none" w:pos="9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tax on intra-group revenues related to advertising services decreased by RMB11.7 million to RMB6.1 million in 2013 from RMB17.8 million in 2012 primarily due to a change in the tax rules in China, which resulted in our advertising services gradually becoming subject to value-added tax instead of business tax since 2013.</w:t>
      </w:r>
    </w:p>
    <w:p>
      <w:pPr>
        <w:spacing w:after="0" w:line="181" w:lineRule="exact"/>
        <w:rPr>
          <w:sz w:val="20"/>
          <w:szCs w:val="20"/>
          <w:color w:val="auto"/>
        </w:rPr>
      </w:pPr>
    </w:p>
    <w:p>
      <w:pPr>
        <w:ind w:right="360" w:firstLine="510"/>
        <w:spacing w:after="0" w:line="264" w:lineRule="auto"/>
        <w:rPr>
          <w:sz w:val="20"/>
          <w:szCs w:val="20"/>
          <w:color w:val="auto"/>
        </w:rPr>
      </w:pPr>
      <w:r>
        <w:rPr>
          <w:rFonts w:ascii="Arial" w:cs="Arial" w:eastAsia="Arial" w:hAnsi="Arial"/>
          <w:sz w:val="18"/>
          <w:szCs w:val="18"/>
          <w:color w:val="auto"/>
        </w:rPr>
        <w:t>The foregoing decrease was partially offset by an increase in staff-related costs of RM27.4 million to RMB249.4 million in 2013 from RMB222.0 million in 2012, mainly as a result of an increase in salaries and other compensation payments, such as bonuses and welfare benefits, and also due to an expansion of the business.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Cost of revenues from our e-mail, e-commerce and others increased by 58.9% to RMB367.4 million in 2013 from RMB231.2 million in 2012. The increase in cost of revenues in 2013 was primarily due to a combination of the following factors:</w:t>
      </w:r>
    </w:p>
    <w:p>
      <w:pPr>
        <w:spacing w:after="0" w:line="170" w:lineRule="exact"/>
        <w:rPr>
          <w:sz w:val="20"/>
          <w:szCs w:val="20"/>
          <w:color w:val="auto"/>
        </w:rPr>
      </w:pPr>
    </w:p>
    <w:p>
      <w:pPr>
        <w:ind w:left="1020" w:hanging="506"/>
        <w:spacing w:after="0" w:line="277" w:lineRule="auto"/>
        <w:tabs>
          <w:tab w:leader="none" w:pos="9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Staff-related cost increased by RMB64.7 million to RMB124.9 million in 2013 from RMB60.2 million in 2012, mainly as a result of an increase in salaries and bonuses and an increase in the number of employees.</w:t>
      </w:r>
    </w:p>
    <w:p>
      <w:pPr>
        <w:spacing w:after="0" w:line="170" w:lineRule="exact"/>
        <w:rPr>
          <w:rFonts w:ascii="Arial" w:cs="Arial" w:eastAsia="Arial" w:hAnsi="Arial"/>
          <w:sz w:val="18"/>
          <w:szCs w:val="18"/>
          <w:color w:val="auto"/>
        </w:rPr>
      </w:pPr>
    </w:p>
    <w:p>
      <w:pPr>
        <w:ind w:left="1020" w:right="540" w:hanging="506"/>
        <w:spacing w:after="0" w:line="342" w:lineRule="auto"/>
        <w:tabs>
          <w:tab w:leader="none" w:pos="9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E-commerce related costs such as costs associated with purchasing game-related accessories increased by RMB25.3 million to RMB56.0 million in 2013 from RMB30.7 million in 2012, which was in line with the increase in revenues from the sale of such accessories.</w:t>
      </w:r>
    </w:p>
    <w:p>
      <w:pPr>
        <w:spacing w:after="0" w:line="123" w:lineRule="exact"/>
        <w:rPr>
          <w:rFonts w:ascii="Arial" w:cs="Arial" w:eastAsia="Arial" w:hAnsi="Arial"/>
          <w:sz w:val="16"/>
          <w:szCs w:val="16"/>
          <w:color w:val="auto"/>
        </w:rPr>
      </w:pPr>
    </w:p>
    <w:p>
      <w:pPr>
        <w:ind w:left="1060" w:right="60" w:hanging="541"/>
        <w:spacing w:after="0" w:line="277" w:lineRule="auto"/>
        <w:tabs>
          <w:tab w:leader="none" w:pos="10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cost, mainly due to a license fee for Cloud Music, which launched in 2013, increased by RMB19.1 million to RMB20.0 million in 2013 from RMB0.9 million in 2012.</w:t>
      </w:r>
    </w:p>
    <w:p>
      <w:pPr>
        <w:spacing w:after="0" w:line="170" w:lineRule="exact"/>
        <w:rPr>
          <w:rFonts w:ascii="Arial" w:cs="Arial" w:eastAsia="Arial" w:hAnsi="Arial"/>
          <w:sz w:val="18"/>
          <w:szCs w:val="18"/>
          <w:color w:val="auto"/>
        </w:rPr>
      </w:pPr>
    </w:p>
    <w:p>
      <w:pPr>
        <w:ind w:left="1060" w:right="100" w:hanging="541"/>
        <w:spacing w:after="0" w:line="342" w:lineRule="auto"/>
        <w:tabs>
          <w:tab w:leader="none" w:pos="102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Technology service cost such as bandwidth and server custody fees increased by RMB7.9 million to RMB91.5 million in 2013 from RMB83.6 million in 2012, mainly as a result of an increase in bandwidth usage by our e-mail, e-commerce related services and other value added</w:t>
      </w:r>
    </w:p>
    <w:p>
      <w:pPr>
        <w:sectPr>
          <w:pgSz w:w="11900" w:h="16908" w:orient="portrait"/>
          <w:cols w:equalWidth="0" w:num="1">
            <w:col w:w="11400"/>
          </w:cols>
          <w:pgMar w:left="240" w:top="125" w:right="259" w:bottom="0" w:gutter="0" w:footer="0" w:header="0"/>
        </w:sectPr>
      </w:pPr>
    </w:p>
    <w:bookmarkStart w:id="50" w:name="page51"/>
    <w:bookmarkEnd w:id="50"/>
    <w:p>
      <w:pPr>
        <w:ind w:left="1060"/>
        <w:spacing w:after="0"/>
        <w:rPr>
          <w:sz w:val="20"/>
          <w:szCs w:val="20"/>
          <w:color w:val="auto"/>
        </w:rPr>
      </w:pPr>
      <w:r>
        <w:rPr>
          <w:rFonts w:ascii="Arial" w:cs="Arial" w:eastAsia="Arial" w:hAnsi="Arial"/>
          <w:sz w:val="18"/>
          <w:szCs w:val="18"/>
          <w:color w:val="auto"/>
        </w:rPr>
        <w:t>services in 2013.</w:t>
      </w:r>
    </w:p>
    <w:p>
      <w:pPr>
        <w:spacing w:after="0" w:line="225" w:lineRule="exact"/>
        <w:rPr>
          <w:sz w:val="20"/>
          <w:szCs w:val="20"/>
          <w:color w:val="auto"/>
        </w:rPr>
      </w:pPr>
    </w:p>
    <w:p>
      <w:pPr>
        <w:ind w:left="1060" w:right="280" w:hanging="541"/>
        <w:spacing w:after="0" w:line="277" w:lineRule="auto"/>
        <w:tabs>
          <w:tab w:leader="none" w:pos="10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and amortization costs increased by RMB3.6 million to RMB39.6 million in 2013 from RMB36.0 million in 2012, mainly as a result of an increase in server depreciation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profit increased by 19.5% to RMB6,717.7 million in 2013 from RMB5,622.9 million in 2012.</w:t>
      </w:r>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2012 and 2013 were calculated by dividing our gross profits over our net revenues for the corresponding type of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38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22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22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US$’000</w:t>
            </w:r>
          </w:p>
        </w:tc>
        <w:tc>
          <w:tcPr>
            <w:tcW w:w="24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5,327,851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6,214,661</w:t>
            </w:r>
          </w:p>
        </w:tc>
        <w:tc>
          <w:tcPr>
            <w:tcW w:w="1220" w:type="dxa"/>
            <w:vAlign w:val="bottom"/>
          </w:tcPr>
          <w:p>
            <w:pPr>
              <w:jc w:val="right"/>
              <w:spacing w:after="0"/>
              <w:rPr>
                <w:sz w:val="20"/>
                <w:szCs w:val="20"/>
                <w:color w:val="auto"/>
              </w:rPr>
            </w:pPr>
            <w:r>
              <w:rPr>
                <w:rFonts w:ascii="Arial" w:cs="Arial" w:eastAsia="Arial" w:hAnsi="Arial"/>
                <w:sz w:val="18"/>
                <w:szCs w:val="18"/>
                <w:color w:val="auto"/>
              </w:rPr>
              <w:t>1,026,589</w:t>
            </w:r>
          </w:p>
        </w:tc>
        <w:tc>
          <w:tcPr>
            <w:tcW w:w="2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293,312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526,181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86,920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1,726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(23,183)</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(3,830)</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5,622,889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1,109,679</w:t>
            </w:r>
          </w:p>
        </w:tc>
        <w:tc>
          <w:tcPr>
            <w:tcW w:w="24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 margin: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74.0%</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79.0%</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79.0%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ind w:right="180" w:firstLine="510"/>
        <w:spacing w:after="0" w:line="302" w:lineRule="auto"/>
        <w:rPr>
          <w:sz w:val="20"/>
          <w:szCs w:val="20"/>
          <w:color w:val="auto"/>
        </w:rPr>
      </w:pPr>
      <w:r>
        <w:rPr>
          <w:rFonts w:ascii="Arial" w:cs="Arial" w:eastAsia="Arial" w:hAnsi="Arial"/>
          <w:sz w:val="16"/>
          <w:szCs w:val="16"/>
          <w:color w:val="auto"/>
        </w:rPr>
        <w:t>The increase of gross profit margin for online game services was mainly due to the decreased revenue contribution from licensed games, which have lower gross profit margin than our self-developed games. The increase in gross profit margin for advertising services was mainly due to the revenue growth and enhanced economies of scale of our portal business. The decrease in gross profit margin for e-mail, e-commerce and others business was mainly due to increased cost from our e-mail services as well as our investment in mobile Internet such as Cloud Music and EaseRead.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Total operating expenses increased by 23.7% to RMB2,365.1 million in 2013 from RMB1,911.2 million in 2012 as a result of an increase in selling and marketing expenses, general and administrative expenses and research and development expenses.</w:t>
      </w:r>
    </w:p>
    <w:p>
      <w:pPr>
        <w:spacing w:after="0" w:line="170"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Selling and marketing expenses increased by 20.6% to RMB1,093.6 million in 2013 from RMB906.7 million in 2012, primarily due to a combination of the following factors:</w:t>
      </w:r>
    </w:p>
    <w:p>
      <w:pPr>
        <w:spacing w:after="0" w:line="170" w:lineRule="exact"/>
        <w:rPr>
          <w:sz w:val="20"/>
          <w:szCs w:val="20"/>
          <w:color w:val="auto"/>
        </w:rPr>
      </w:pPr>
    </w:p>
    <w:p>
      <w:pPr>
        <w:ind w:left="1020" w:right="260" w:hanging="502"/>
        <w:spacing w:after="0" w:line="257" w:lineRule="auto"/>
        <w:tabs>
          <w:tab w:leader="none" w:pos="9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marketing costs of approximately RMB131.4 million in 2013 resulting from increased advertising and marketing promotional activities related to various games, including Heroes of Three Kingdoms, Ghost II, Dragon Sword, Hearthstone: Heroes of Warcraft, New Westward Journey Online II and New Westward Journey Online III, and increased marketing spending on media and outdoor branding promotion for our portal and e-commerce businesses, which were partially offset by reduced promotional activates related to several of our other online games.</w:t>
      </w:r>
    </w:p>
    <w:p>
      <w:pPr>
        <w:spacing w:after="0" w:line="188" w:lineRule="exact"/>
        <w:rPr>
          <w:rFonts w:ascii="Arial" w:cs="Arial" w:eastAsia="Arial" w:hAnsi="Arial"/>
          <w:sz w:val="18"/>
          <w:szCs w:val="18"/>
          <w:color w:val="auto"/>
        </w:rPr>
      </w:pPr>
    </w:p>
    <w:p>
      <w:pPr>
        <w:ind w:left="1020" w:right="80" w:hanging="502"/>
        <w:spacing w:after="0" w:line="277" w:lineRule="auto"/>
        <w:tabs>
          <w:tab w:leader="none" w:pos="9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staff-related costs of our sales team of approximately RMB47.1 million in 2013, primarily driven by higher compensation levels and performance-related bonus accruals for our online game promotion team.</w:t>
      </w:r>
    </w:p>
    <w:p>
      <w:pPr>
        <w:spacing w:after="0" w:line="170" w:lineRule="exact"/>
        <w:rPr>
          <w:rFonts w:ascii="Arial" w:cs="Arial" w:eastAsia="Arial" w:hAnsi="Arial"/>
          <w:sz w:val="18"/>
          <w:szCs w:val="18"/>
          <w:color w:val="auto"/>
        </w:rPr>
      </w:pPr>
    </w:p>
    <w:p>
      <w:pPr>
        <w:ind w:left="1020" w:right="160" w:hanging="502"/>
        <w:spacing w:after="0" w:line="277" w:lineRule="auto"/>
        <w:tabs>
          <w:tab w:leader="none" w:pos="9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technology cost, professional cost and other miscellaneous cost of approximately RMB8.4 million in 2013 primarily driven by increased business expansion costs related to our e-mail, e-commerce services and others business.</w:t>
      </w:r>
    </w:p>
    <w:p>
      <w:pPr>
        <w:spacing w:after="0" w:line="170"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General and administrative expenses increased by 22.2% to RMB349.8 million in 2013 from RMB286.2 million in 2012, primarily due to an increase in staff-related costs of approximately RMB61.6 million in 2013 primarily driven by increased headcount, higher compensation levels and increased share based compensation.</w:t>
      </w:r>
    </w:p>
    <w:p>
      <w:pPr>
        <w:spacing w:after="0" w:line="181"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Research and development expenses increased by 28.3% to RMB921.6 million in 2013 from RMB718.3 million in 2012, primarily due to a combination of the following factors:</w:t>
      </w:r>
    </w:p>
    <w:p>
      <w:pPr>
        <w:spacing w:after="0" w:line="170" w:lineRule="exact"/>
        <w:rPr>
          <w:sz w:val="20"/>
          <w:szCs w:val="20"/>
          <w:color w:val="auto"/>
        </w:rPr>
      </w:pPr>
    </w:p>
    <w:p>
      <w:pPr>
        <w:ind w:left="1060" w:hanging="541"/>
        <w:spacing w:after="0" w:line="264" w:lineRule="auto"/>
        <w:tabs>
          <w:tab w:leader="none" w:pos="102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RMB146.2 million in 2013, mainly as a result of increased headcount of program developers in our research and development center and game studio in Hangzhou and higher salaries and other benefits paid to our research and development team during 2013.</w:t>
      </w:r>
    </w:p>
    <w:p>
      <w:pPr>
        <w:spacing w:after="0" w:line="181" w:lineRule="exact"/>
        <w:rPr>
          <w:rFonts w:ascii="Arial" w:cs="Arial" w:eastAsia="Arial" w:hAnsi="Arial"/>
          <w:sz w:val="18"/>
          <w:szCs w:val="18"/>
          <w:color w:val="auto"/>
        </w:rPr>
      </w:pPr>
    </w:p>
    <w:p>
      <w:pPr>
        <w:ind w:left="1020" w:hanging="52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game content design costs of approximately RMB48.9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9"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As of December 31, 2013, the gross accounts receivable balance before any allowance for bad and doubtful accounts was RMB410.8 million. After providing for doubtful accounts in the amount of RMB8.3 million, the net balance of accounts receivable was RMB402.5 million as of December 31, 2013.</w:t>
      </w:r>
    </w:p>
    <w:p>
      <w:pPr>
        <w:sectPr>
          <w:pgSz w:w="11900" w:h="16838" w:orient="portrait"/>
          <w:cols w:equalWidth="0" w:num="1">
            <w:col w:w="11400"/>
          </w:cols>
          <w:pgMar w:left="240" w:top="125" w:right="259" w:bottom="0" w:gutter="0" w:footer="0" w:header="0"/>
        </w:sectPr>
      </w:pPr>
    </w:p>
    <w:bookmarkStart w:id="51" w:name="page52"/>
    <w:bookmarkEnd w:id="51"/>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allowances for doubtful accounts represented the provisions of RMB8.3 million as of December 31 2013, as compared to the provision of RMB10.4 million as of December 31,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24" w:lineRule="exact"/>
        <w:rPr>
          <w:sz w:val="20"/>
          <w:szCs w:val="20"/>
          <w:color w:val="auto"/>
        </w:rPr>
      </w:pPr>
    </w:p>
    <w:p>
      <w:pPr>
        <w:ind w:right="220" w:firstLine="510"/>
        <w:spacing w:after="0" w:line="264" w:lineRule="auto"/>
        <w:rPr>
          <w:sz w:val="20"/>
          <w:szCs w:val="20"/>
          <w:color w:val="auto"/>
        </w:rPr>
      </w:pPr>
      <w:r>
        <w:rPr>
          <w:rFonts w:ascii="Arial" w:cs="Arial" w:eastAsia="Arial" w:hAnsi="Arial"/>
          <w:sz w:val="18"/>
          <w:szCs w:val="18"/>
          <w:color w:val="auto"/>
        </w:rPr>
        <w:t>No significant allowance for bad and doubtful accounts was provided in 2013, and the allowances for bad and doubtful accounts as of December 31, 2013 was similar to that as of December 31, 2012. As of December 31, 2013, we had one customer with a receivable balance of RMB41.3 million, which constituted approximately 10.0% of our total accounts receivable balance.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Other income in 2013 mainly consisted of interest income, investment income related to short-term investments and government incentives, offset in part by a foreign exchange loss. Interest income increased to RMB506.2 million in 2013 from RMB423.6 million in 2012, primarily due to an increase in our total cash and cash equivalents and time deposit balance which increased by 22.4% to RMB18.6 billion as of December 31, 2013 from RMB15.2 billion as of December 31, 2012. We incurred interest expense of RMB12.3 million in 2013 related to our short-term borrowings. Investment income related to short-term investments, which consisted of held-to-maturity investments of fixed-rate corporate bonds and other short-term investments of financial products issued by commercial banks with a maturity date within one year when purchased, was RMB37.3 million in 2013, compared to RMB42.9 million in 2012. As of December 31, 2013, our short-term investments totaled approximately RMB901.2 million, compared to RMB1,073.5 million as of December 31, 2012. In 2013, we also received and recognized unconditional government incentives of RMB103.3 million, compared to RMB92.4 million in 2012. In 2013, we reported a net foreign exchange loss of RMB15.3 million, compared to a net foreign exchange loss of RMB0.6 million in 2012, which is primarily due to the translation loss arising from our U.S. dollar-denominated bank deposit and short-term loan balances as the exchange rate of the U.S. dollar against the RMB fluctuated over these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Income tax decreased to RMB530.6 million in 2013 from RMB691.6 million in 2012. Our effective tax rate in 2013 was 10.7% compared with 16.2% in 2012, which was primarily due to the fact that in 2013, certain subsidiaries were approved as Key Software Enterprises for fiscal years 2011 to 2014 with a preferential tax rate of 10% and the resulting income tax reduction was recognized in our consolidated financial statements in 2013. We have also accrued an aggregate of RMB344.7 million for withholding tax liabilities associated with the cash expected to be distributed from our PRC subsidiaries to overseas for the payment of an annual dividend and for general corporate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result of the foregoing, net profit increased by 22.2% to RMB4,443.9 million in 2013 from RMB3,637.5 million in 2012.</w:t>
      </w:r>
    </w:p>
    <w:p>
      <w:pPr>
        <w:spacing w:after="0" w:line="22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To date, we have financed our operations primarily through operating cash flows and existing capital resources. As of December 31, 2014, we had RMB2,021.5 million (US$325.8 million) in cash and cash equivalents and we also had short-term borrowings of RMB2,049.9 million (US$330.4 million).</w:t>
      </w:r>
    </w:p>
    <w:p>
      <w:pPr>
        <w:spacing w:after="0" w:line="12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506"/>
        <w:spacing w:after="0" w:line="277" w:lineRule="auto"/>
        <w:rPr>
          <w:sz w:val="20"/>
          <w:szCs w:val="20"/>
          <w:color w:val="auto"/>
        </w:rPr>
      </w:pPr>
      <w:r>
        <w:rPr>
          <w:rFonts w:ascii="Arial" w:cs="Arial" w:eastAsia="Arial" w:hAnsi="Arial"/>
          <w:sz w:val="18"/>
          <w:szCs w:val="18"/>
          <w:color w:val="auto"/>
        </w:rPr>
        <w:t>Cash provided by operating activities was RMB5,873.0 million (US$946.6 million), RMB5,235.9 million and RMB4,224.3 million for the years ended December 31, 2014, 2013 and 2012, respectively.</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For the year ended December 31, 2014, cash provided by operating activities consisted primarily of (i) our net income of RMB4,795.7 million</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(US$772.9 million), (ii) an increase in accounts payable and other liabilities of RMB658.4 million (US$106.1 million), such as content fees, bandwidth cost, bonuses, marketing expenses and sales of game cards, (iii) an increase in deferred revenue of RMB486.7 million (US$78.4 million), (iv) share-based compensation cost of RMB349.3 million (US$56.3 million), (v) an increase in tax payable of RMB259.8 million (US$41.9 million) and (vi) depreciation and amortization charges of RMB174.5 million (US$28.1 million), partially offset by (A) an increase in accounts receivable, prepayments and other current assets of RMB766.8 million (US$123.6 million), (B) deferred income taxes of RMB117.3 million (US$18.9 million) and (C) fair value changes in short-term investments of RMB64.2 million (US$10.4 million).</w:t>
      </w:r>
    </w:p>
    <w:p>
      <w:pPr>
        <w:spacing w:after="0" w:line="194"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For the year ended December 31, 2013, cash provided by operating activities consisted primarily of (i) our net income of RMB4,445.2 million, (ii) an increase in deferred revenue of RMB321.0 million, (iii) share-based compensation cost of RMB306.3 million, (iv) an increase in accounts payable and other</w:t>
      </w:r>
    </w:p>
    <w:p>
      <w:pPr>
        <w:sectPr>
          <w:pgSz w:w="11900" w:h="16975" w:orient="portrait"/>
          <w:cols w:equalWidth="0" w:num="1">
            <w:col w:w="11420"/>
          </w:cols>
          <w:pgMar w:left="240" w:top="125" w:right="239" w:bottom="0" w:gutter="0" w:footer="0" w:header="0"/>
        </w:sectPr>
      </w:pPr>
    </w:p>
    <w:bookmarkStart w:id="52" w:name="page53"/>
    <w:bookmarkEnd w:id="52"/>
    <w:p>
      <w:pPr>
        <w:spacing w:after="0" w:line="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liabilities of RMB303.2 million, such as content fees, bandwidth cost, bonus, marketing expenses and sales of game cards, (v) depreciation and amortization charges of RMB158.4 million and (vi) deferred income taxes of RMB142.3 million, partially offset by (A) taxes payable of RMB315.0 million and (B) an increase in accounts receivable, prepayments and other current assets of RMB153.0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 ended December 31, 2012, cash provided by operating activities consisted primarily of (i) our net income of RMB3,586.6 million,</w:t>
      </w:r>
    </w:p>
    <w:p>
      <w:pPr>
        <w:spacing w:after="0" w:line="35" w:lineRule="exact"/>
        <w:rPr>
          <w:sz w:val="20"/>
          <w:szCs w:val="20"/>
          <w:color w:val="auto"/>
        </w:rPr>
      </w:pPr>
    </w:p>
    <w:p>
      <w:pPr>
        <w:ind w:right="460" w:firstLine="8"/>
        <w:spacing w:after="0" w:line="273" w:lineRule="auto"/>
        <w:tabs>
          <w:tab w:leader="none" w:pos="2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depreciation and amortization charges of RMB233.5 million, (iii) an increase in accounts payable and other liabilities of RMB207.7 million, such as content fees, bandwidth cost, bonus, marketing expenses and sales of game cards, (iv) share-based compensation cost of RMB203.0 million and (v) an increase in deferred revenue of RMB145.9 million, partially offset by (A) an increase in accounts receivable, prepayments and other current assets of RMB139.1 million, (B) taxes payable of RMB34.4 million and (C) deferred income taxes of RMB31.6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Cash used in investing activities was RMB4,520.2 million (US$728.5 million), RMB5,453.3 million and RMB4,454.0 million for the years ended December 31, 2014, 2013 and 2012, respectively.</w:t>
      </w:r>
    </w:p>
    <w:p>
      <w:pPr>
        <w:spacing w:after="0" w:line="170"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For the year ended December 31, 2014, cash used in investing activities mainly consisted of (i) placement/rollover of matured time deposits of RMB21,955.0 million (US$3,538.5 million), (ii) purchase of short-term investments of RMB2,358.1 million (US$380.1 million), (iii) purchase of property, equipment and software of RMB537.4 million (US$86.6 million) and (iv) transfer of cash deposited by customers with our Wangyibao online payment platform to restricted cash pursuant to relevant PBOC regulations and cash deposited for our short-term loan of RMB492.1 million (US$79.3 million), partially offset by (A) proceeds from maturity of time deposits of RMB19,905.0 million (US$3,208.1 million), (B) proceeds from maturity of short-term investments of RMB1,017.6 million (US$164.0 million) and (C) net change in short-term investments with terms of three months or less of RMB247.4 million (US$39.9 million).</w:t>
      </w:r>
    </w:p>
    <w:p>
      <w:pPr>
        <w:spacing w:after="0" w:line="189"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For the year ended December 31, 2013, cash used in investing activities mainly consisted of (i) placement/rollover of matured time deposits of RMB21,807.6 million, (ii) transfer of cash deposited by customers with our Wangyibao online payment platform to restricted cash pursuant to relevant PBOC regulations and cash deposited for our short-term loan of RMB1,566.2 million, (iii) purchase of short-term investments of RMB880.0 million and (iv) equity investment related to our joint venture with China Telecom for the operation of YiChat of RMB200.0 million, partially offset by (A) proceeds from maturity of time deposits of RMB18,231.8 million and (B) proceeds from maturity of short-term investments of RMB1,040.0 million.</w:t>
      </w:r>
    </w:p>
    <w:p>
      <w:pPr>
        <w:spacing w:after="0" w:line="173"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For the year ended December 31, 2012, cash used in investing activities mainly consisted of (i) placement/rollover of matured time deposits of RMB19,204.5 million, (ii) purchase of short-term investments of RMB1,101.7 million and (iii) transfer of cash deposited by customers with our Wangyibao online payment platform of RMB251.8 million to restricted cash pursuant to relevant PBOC regulations, partially offset by (A) proceeds from maturity of time deposits of RMB15,326.8 million and (B) proceeds from maturity of short-term investments of RMB1,120.0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Cash used in financing activities was RMB778.6 million (US$125.5 million) for the year ended December 31, 2014 and cash provided by and used in financing activities was RMB86.8 million and RMB390.2 million for the years ended December 31, 2013 and 2012, respectively.</w:t>
      </w:r>
    </w:p>
    <w:p>
      <w:pPr>
        <w:spacing w:after="0" w:line="147" w:lineRule="exact"/>
        <w:rPr>
          <w:sz w:val="20"/>
          <w:szCs w:val="20"/>
          <w:color w:val="auto"/>
        </w:rPr>
      </w:pPr>
    </w:p>
    <w:p>
      <w:pPr>
        <w:ind w:right="660" w:firstLine="510"/>
        <w:spacing w:after="0" w:line="259" w:lineRule="auto"/>
        <w:rPr>
          <w:sz w:val="20"/>
          <w:szCs w:val="20"/>
          <w:color w:val="auto"/>
        </w:rPr>
      </w:pPr>
      <w:r>
        <w:rPr>
          <w:rFonts w:ascii="Arial" w:cs="Arial" w:eastAsia="Arial" w:hAnsi="Arial"/>
          <w:sz w:val="18"/>
          <w:szCs w:val="18"/>
          <w:color w:val="auto"/>
        </w:rPr>
        <w:t>For the year ended December 31, 2014, cash used in financing activities resulted from dividends paid in the amount of RMB1,983.0 million (US$319.6 million) and payment of short-term bank loan of RMB975.5 million (US$157.2 million), partially offset by proceeds from bank loan of RMB2,046.7 million (US$329.9 million) and capital contribution from mezzanine classified noncontrolling interests of RMB130.4 million (US$21.0 million).</w:t>
      </w:r>
    </w:p>
    <w:p>
      <w:pPr>
        <w:spacing w:after="0" w:line="18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For the year ended December 31, 2013, cash provided by financing activities resulted from proceeds from the short-term loan of RMB1,005.7 million, partially offset by a dividend paid in the amount of RMB815.4 million and open market purchases of our ADSs in the amount of RMB106.8 million.</w:t>
      </w:r>
    </w:p>
    <w:p>
      <w:pPr>
        <w:spacing w:after="0" w:line="124" w:lineRule="exact"/>
        <w:rPr>
          <w:sz w:val="20"/>
          <w:szCs w:val="20"/>
          <w:color w:val="auto"/>
        </w:rPr>
      </w:pPr>
    </w:p>
    <w:p>
      <w:pPr>
        <w:ind w:right="820" w:firstLine="510"/>
        <w:spacing w:after="0" w:line="342" w:lineRule="auto"/>
        <w:rPr>
          <w:sz w:val="20"/>
          <w:szCs w:val="20"/>
          <w:color w:val="auto"/>
        </w:rPr>
      </w:pPr>
      <w:r>
        <w:rPr>
          <w:rFonts w:ascii="Arial" w:cs="Arial" w:eastAsia="Arial" w:hAnsi="Arial"/>
          <w:sz w:val="16"/>
          <w:szCs w:val="16"/>
          <w:color w:val="auto"/>
        </w:rPr>
        <w:t>For the year ended December 31, 2012, cash used in financing activities resulted from open market purchases of our ADSs in the amount of RMB414.9 million, partially offset by proceeds from the issuance of shares on the exercise of employee stock options of RMB24.7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Resources</w:t>
      </w:r>
    </w:p>
    <w:p>
      <w:pPr>
        <w:spacing w:after="0" w:line="22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variable interest entities in our consolidated financial statements, we do not have direct access to the cash and cash equivalents or future earnings of our subsidiaries and variable interest entities. As of December 31, 2014, these subsidiaries and variable interest entities had RMB21.1 billion (US$3.4 billion) in cash and cash equivalents, demand deposits and short-term and long-term time deposits. Our cash and cash equivalents, demand deposits, time deposits and short-term investments held outside of China are mainly denominated in U.S. dollars, Renminbi and Euro.</w:t>
      </w:r>
    </w:p>
    <w:p>
      <w:pPr>
        <w:spacing w:after="0" w:line="16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To fund any cash requirements we may have, we may need to rely on dividends and other distributions on equity paid by our subsidiaries. Since substantially all of our operations are conducted through our PRC subsidiaries and variable interest entities, our subsidiaries may need to rely on dividends, loans or advances made by another PRC subsidiary or variable interest entity. Certain of these payments are subject to PRC taxes, including sales taxes, which effectively reduce the received amount. In addition, the PRC government could impose restrictions on such payments or change the tax rates applicable to such payments. As of December 31, 2014, we had accrued an aggregate of RMB125.1 million (US$20.2 million) for withholding tax liabilities associated with the cash expected to be distributed from our PRC subsidiaries offshore to our company for the payment of quarterly dividends and for general corporate purposes. For the foreseeable future, we intend to reinvest all remaining undistributed earnings as at December 31, 2014 in our PRC subsidiaries, and accordingly no other withholding tax is expected to be incurred.</w:t>
      </w:r>
    </w:p>
    <w:p>
      <w:pPr>
        <w:spacing w:after="0" w:line="179"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w:t>
      </w:r>
    </w:p>
    <w:p>
      <w:pPr>
        <w:sectPr>
          <w:pgSz w:w="11900" w:h="16908" w:orient="portrait"/>
          <w:cols w:equalWidth="0" w:num="1">
            <w:col w:w="11420"/>
          </w:cols>
          <w:pgMar w:left="240" w:top="125" w:right="239" w:bottom="0" w:gutter="0" w:footer="0" w:header="0"/>
        </w:sectPr>
      </w:pPr>
    </w:p>
    <w:bookmarkStart w:id="53" w:name="page54"/>
    <w:bookmarkEnd w:id="53"/>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RMB3.1 billion, or 13.4% of our total consolidated net assets as of December 31, 2014. In addition, if any of our PRC subsidiaries incurs debt on its own behalf in the future, the instruments governing the debt may restrict its ability to pay dividends or make other distributions to us.</w:t>
      </w:r>
    </w:p>
    <w:p>
      <w:pPr>
        <w:spacing w:after="0" w:line="16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Furthermore,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variable interest entities are not permitted under PRC law to directly lend money to one another. Therefore, it is difficult to change our capital expenditure plans once the relevant funds have been remitted from our company to our PRC subsidiaries or variable interest entities. These limitations on the free flow of funds between us and our PRC subsidiaries and variable interest entities could restrict our ability to act in response to changing market conditions and reallocate funds internally in a timely manner.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For additional information, see Item 3.D. “Risk Factors—Risks Related to Our Company—Our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capital requirements relate primarily to financing:</w:t>
      </w:r>
    </w:p>
    <w:p>
      <w:pPr>
        <w:spacing w:after="0" w:line="225" w:lineRule="exact"/>
        <w:rPr>
          <w:sz w:val="20"/>
          <w:szCs w:val="20"/>
          <w:color w:val="auto"/>
        </w:rPr>
      </w:pPr>
    </w:p>
    <w:p>
      <w:pPr>
        <w:ind w:left="1020" w:right="600" w:hanging="502"/>
        <w:spacing w:after="0" w:line="277" w:lineRule="auto"/>
        <w:tabs>
          <w:tab w:leader="none" w:pos="9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our working capital requirements, such as bandwidth and server custody fees, staff costs, sales and marketing expenses and research and development, and</w:t>
      </w:r>
    </w:p>
    <w:p>
      <w:pPr>
        <w:spacing w:after="0" w:line="170" w:lineRule="exact"/>
        <w:rPr>
          <w:rFonts w:ascii="Arial" w:cs="Arial" w:eastAsia="Arial" w:hAnsi="Arial"/>
          <w:sz w:val="18"/>
          <w:szCs w:val="18"/>
          <w:color w:val="auto"/>
        </w:rPr>
      </w:pPr>
    </w:p>
    <w:p>
      <w:pPr>
        <w:ind w:left="1020" w:right="80" w:hanging="506"/>
        <w:spacing w:after="0" w:line="277" w:lineRule="auto"/>
        <w:tabs>
          <w:tab w:leader="none" w:pos="9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costs associated with the expansion of our business, such as the purchase of servers, office renovations and construction of new office buildings in Beijing, Guangzhou, Hangzhou and Zhoushan.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4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e-commerce services to our users. In addition, we plan to continue to expand our technologies, products and services and registered user base through diverse online community products and services developed internally, particularly with respect to our online game services. We will seek to continually improve and enhance our existing services to respond to rapidly evolving competitive and technological conditions. For the years 2014, 2013 and 2012, we spent RMB1,323.5 million (US$213.3 million), RMB921.6 million and RMB718.3 million, respectively, on research and development activities.</w:t>
      </w:r>
    </w:p>
    <w:p>
      <w:pPr>
        <w:spacing w:after="0" w:line="18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16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pacing w:after="0" w:line="166"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have entered into leasing arrangements relating to our office premises. We also have contractual obligations in respect of server custody fees and capital expenditures related to computer equipment and the construction of new office buildings in Beijing, Guangzhou and Hangzhou. In addition, we have contractual obligations in connection with the licensing of World of Warcraft, StarCraft II: Wings of Liberty, Heroes of the Storm, Hearthstone: Heroes of Warcraft and Diablo III from Blizzard, as described below. The following sets forth our contractual obligations for operating leases, server custody fees, long-term payables, capital expenditures and office machine and other obligations related to content and services purchases, other than our obligations in connection with the online games licensed by Blizzard, as of December 31, 2014: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Rental</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Server custody</w:t>
            </w:r>
          </w:p>
        </w:tc>
        <w:tc>
          <w:tcPr>
            <w:tcW w:w="1020" w:type="dxa"/>
            <w:vAlign w:val="bottom"/>
            <w:vMerge w:val="restart"/>
          </w:tcPr>
          <w:p>
            <w:pPr>
              <w:jc w:val="center"/>
              <w:ind w:left="290"/>
              <w:spacing w:after="0"/>
              <w:rPr>
                <w:sz w:val="20"/>
                <w:szCs w:val="20"/>
                <w:color w:val="auto"/>
              </w:rPr>
            </w:pPr>
            <w:r>
              <w:rPr>
                <w:rFonts w:ascii="Arial" w:cs="Arial" w:eastAsia="Arial" w:hAnsi="Arial"/>
                <w:sz w:val="14"/>
                <w:szCs w:val="14"/>
                <w:b w:val="1"/>
                <w:bCs w:val="1"/>
                <w:color w:val="auto"/>
                <w:w w:val="95"/>
              </w:rPr>
              <w:t>Long-term</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Office machine</w:t>
            </w: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fee</w:t>
            </w:r>
          </w:p>
        </w:tc>
        <w:tc>
          <w:tcPr>
            <w:tcW w:w="1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and other</w:t>
            </w:r>
          </w:p>
        </w:tc>
        <w:tc>
          <w:tcPr>
            <w:tcW w:w="15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commitments</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commitments</w:t>
            </w:r>
          </w:p>
        </w:tc>
        <w:tc>
          <w:tcPr>
            <w:tcW w:w="1020" w:type="dxa"/>
            <w:vAlign w:val="bottom"/>
          </w:tcPr>
          <w:p>
            <w:pPr>
              <w:jc w:val="center"/>
              <w:ind w:left="270"/>
              <w:spacing w:after="0"/>
              <w:rPr>
                <w:sz w:val="20"/>
                <w:szCs w:val="20"/>
                <w:color w:val="auto"/>
              </w:rPr>
            </w:pPr>
            <w:r>
              <w:rPr>
                <w:rFonts w:ascii="Arial" w:cs="Arial" w:eastAsia="Arial" w:hAnsi="Arial"/>
                <w:sz w:val="14"/>
                <w:szCs w:val="14"/>
                <w:b w:val="1"/>
                <w:bCs w:val="1"/>
                <w:color w:val="auto"/>
                <w:w w:val="86"/>
              </w:rPr>
              <w:t>payables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commitments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commitments</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center"/>
              <w:ind w:left="270"/>
              <w:spacing w:after="0" w:line="119" w:lineRule="exact"/>
              <w:rPr>
                <w:sz w:val="20"/>
                <w:szCs w:val="20"/>
                <w:color w:val="auto"/>
              </w:rPr>
            </w:pPr>
            <w:r>
              <w:rPr>
                <w:rFonts w:ascii="Arial" w:cs="Arial" w:eastAsia="Arial" w:hAnsi="Arial"/>
                <w:sz w:val="13"/>
                <w:szCs w:val="13"/>
                <w:b w:val="1"/>
                <w:bCs w:val="1"/>
                <w:color w:val="auto"/>
              </w:rPr>
              <w:t>RMB</w:t>
            </w: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360" w:type="dxa"/>
            <w:vAlign w:val="bottom"/>
            <w:tcBorders>
              <w:top w:val="single" w:sz="8" w:color="auto"/>
            </w:tcBorders>
          </w:tcPr>
          <w:p>
            <w:pPr>
              <w:ind w:left="500"/>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81,500</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17,104</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208,356</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65,525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372,485</w:t>
            </w:r>
          </w:p>
        </w:tc>
        <w:tc>
          <w:tcPr>
            <w:tcW w:w="14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2016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33,428</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69,073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19,629</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4,752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127,194</w:t>
            </w:r>
          </w:p>
        </w:tc>
        <w:tc>
          <w:tcPr>
            <w:tcW w:w="14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37,357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66,882</w:t>
            </w:r>
          </w:p>
        </w:tc>
        <w:tc>
          <w:tcPr>
            <w:tcW w:w="14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2018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4,563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6,850</w:t>
            </w:r>
          </w:p>
        </w:tc>
        <w:tc>
          <w:tcPr>
            <w:tcW w:w="14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Beyond 2018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5,791</w:t>
            </w:r>
          </w:p>
        </w:tc>
        <w:tc>
          <w:tcPr>
            <w:tcW w:w="140" w:type="dxa"/>
            <w:vAlign w:val="bottom"/>
            <w:shd w:val="clear" w:color="auto" w:fill="CCEEFF"/>
          </w:tcPr>
          <w:p>
            <w:pPr>
              <w:spacing w:after="0"/>
              <w:rPr>
                <w:sz w:val="18"/>
                <w:szCs w:val="18"/>
                <w:color w:val="auto"/>
              </w:rPr>
            </w:pPr>
          </w:p>
        </w:tc>
      </w:tr>
      <w:tr>
        <w:trPr>
          <w:trHeight w:val="210"/>
        </w:trPr>
        <w:tc>
          <w:tcPr>
            <w:tcW w:w="19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145,904</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106,430</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230,003</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79,437</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579,202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1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06"/>
        <w:spacing w:after="0" w:line="297" w:lineRule="auto"/>
        <w:rPr>
          <w:sz w:val="20"/>
          <w:szCs w:val="20"/>
          <w:color w:val="auto"/>
        </w:rPr>
      </w:pPr>
      <w:r>
        <w:rPr>
          <w:rFonts w:ascii="Arial" w:cs="Arial" w:eastAsia="Arial" w:hAnsi="Arial"/>
          <w:sz w:val="16"/>
          <w:szCs w:val="16"/>
          <w:color w:val="auto"/>
        </w:rPr>
        <w:t>Under certain license agreements entered into in 2008, 2009 and 2013 pursuant to which Blizzard licensed to Shanghai EaseNet the exclusive right to operate StarCraft II: Wings of Liberty, World of Warcraft and Hearthstone: Heroes of Warcraft in the PRC, Shanghai EaseNet is required to pay license fees (except Hearthstone: Heroes of Warcraft for which no license fee is required to be paid), royalties and consultancy fees (except Hearthstone: Heroes of Warcraft for which no consultancy fee is required to be paid) to Blizzard for the games, and it also has a minimum marketing expenditure commitment. In accordance with such license agreements, we have incurred an overall commitment totaling approximately RMB4.4 billion (US$0.7 billion).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2014, our outstanding commitments under the license agreements with respect to StarCraft II: Wings of Liberty, World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Warcraft and Hearthstone: Heroes of Warcraft totaled RMB1.7 billion (US$0.3 billion) which can be summarized as follows:</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RMB (in millions)</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2016</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97" w:lineRule="auto"/>
        <w:rPr>
          <w:sz w:val="20"/>
          <w:szCs w:val="20"/>
          <w:color w:val="auto"/>
        </w:rPr>
      </w:pPr>
      <w:r>
        <w:rPr>
          <w:rFonts w:ascii="Arial" w:cs="Arial" w:eastAsia="Arial" w:hAnsi="Arial"/>
          <w:sz w:val="16"/>
          <w:szCs w:val="16"/>
          <w:color w:val="auto"/>
        </w:rPr>
        <w:t>Under a license agreement entered into in November 2012, Blizzard agreed to license to Shanghai EaseNet the exclusive right to operate Heroes of the Storm in the PRC for a period of three years commencing from the game’s commercial release. Additionally, in June 2014, Blizzard agreed to license to Shanghai EaseNet the exclusive right to operate Diablo III in the PRC for a period of two years from the game’s commercial release. We expects to incur a commitment totaling approximately RMB765.1 million (US$123.3 million), including royalty fees to Blizzard and minimum marketing expenditures for these two games. As of December 31, 2014, Heroes of the Storm and Diablo III had not yet been commercially launched in China.</w:t>
      </w:r>
    </w:p>
    <w:p>
      <w:pPr>
        <w:spacing w:after="0" w:line="15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addition, Shanghai EaseNet is obligated to purchase or lease certain prescribed hardware and then make such prescribed hardware available to fulfill its obligations under the above mentioned license agreements with Blizzard in the aggregate amount of up to approximately RMB198.5 million (US$32.0 million) over the remaining term of each license as of December 31, 2014. This amount represents the maximum expenditure Shanghai EaseNet would have to make for the prescribed hardware, but it may not be required to spend this amount in order to satisfy its obligations with respect to such hardware. With respect to the above commitment related to Blizzard licensed games, we have guaranteed the foregoing amounts if and to the extent Shanghai EaseNet has insufficient funds to make such payments. We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our company and the joint venture with Blizzard which provides technical services to Shanghai EaseNet.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Item 4.B. “Business Overview — Our Services — Game Licensing and Joint Venture with Blizzard” for further details.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than the obligations set forth above, we do not have any long-term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Our exposure to market rate risk for changes in interest rates relates primarily to the interest income generated by excess cash invested in fixed-rate corporate bonds of well-known Chinese companies and financial products issued by commercial banks in China. We have not used derivative financial instruments in our investment portfolio. Interest earning instruments carry a degree of interest rate risk. We have not been exposed nor do we anticipate being exposed to material risks due to changes in interest rates. However, our future interest income may fall short of expectations due to changes in interest rates. Based on our interest earning instruments in 2014, a 10% change in the interest rate would result in an increase or decrease of RMB60.2 million (US$9.7 million) of our total amount of interest income or of RMB8.2 million (US$1.3 million) of our total amount of investment income in 2014.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Substantially all our revenues and expenses are denominated in Renminbi, but as noted above, a certain portion of our cash is kept in U.S. dollars and Euro. Although we believe that, in general, our exposure to foreign exchange risks should be limited, the value of our ADSs will be affected by the foreign exchange rate between U.S. dollars, Euro and Renminbi. For example, to the extent that we need to convert U.S. dollars or Euro into Renminbi for our operational needs and the Renminbi appreciates against the U.S. dollars or Euro at that time, our financial position and the price of our ADSs may be adversely affected. Conversely, if we decide to convert our Renminbi into U.S. dollars for the purpose of declaring dividends on our ADSs or otherwise and the U.S. dollar or Euro appreciates against the Renminbi, the U.S. dollar equivalent of our earnings from our subsidiaries and controlled entities in China would be reduced.</w:t>
      </w:r>
    </w:p>
    <w:p>
      <w:pPr>
        <w:spacing w:after="0" w:line="189"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In July 2005, the Chinese government announced that it is pegging the exchange rate of the Chinese Renminbi against a number of currencies, rather than just the US dollar. This change in policy has resulted in an appreciation in the value of the Renminbi against the US dollar. Although we generate substantially all of our revenues in Renminbi which has become more valuable in US dollar terms, we translate our monetary assets and liabilities which are denominated in currencies other than Renminbi into Renminbi as of each accounting period end, in accordance with applicable accounting standards. As a result of this foreign currency translation, we reported a net foreign exchange loss of RMB18.0 million (US$2.9 million) in 2014, compared to a net foreign exchange loss of RMB15.3 million in 2013.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ectPr>
          <w:pgSz w:w="11900" w:h="16838" w:orient="portrait"/>
          <w:cols w:equalWidth="0" w:num="1">
            <w:col w:w="11420"/>
          </w:cols>
          <w:pgMar w:left="240" w:top="140" w:right="239" w:bottom="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May 2014, the FASB and IASB issued their converged standard on revenue recognition. The objective of the revenue standard ASU 2014-09, “Revenue from Contracts with Customers (Topic 606)” is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For public companies, the revenue standard is effective for the first interim period within annual reporting periods beginning after December 15, 2016 and early adoption is not permitted. We are currently evaluating the impact of this accounting standard update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names of our directors and executive officers, their ages as of April 1, 2015 and the principal positions with NetEase held by them are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80" w:type="dxa"/>
            <w:vAlign w:val="bottom"/>
          </w:tcPr>
          <w:p>
            <w:pPr>
              <w:spacing w:after="0"/>
              <w:rPr>
                <w:sz w:val="14"/>
                <w:szCs w:val="14"/>
                <w:color w:val="auto"/>
              </w:rPr>
            </w:pPr>
          </w:p>
        </w:tc>
        <w:tc>
          <w:tcPr>
            <w:tcW w:w="602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80" w:type="dxa"/>
            <w:vAlign w:val="bottom"/>
            <w:tcBorders>
              <w:top w:val="single" w:sz="8" w:color="CCEEFF"/>
            </w:tcBorders>
            <w:shd w:val="clear" w:color="auto" w:fill="CCEEFF"/>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Onward Choi</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6300" w:type="dxa"/>
            <w:vAlign w:val="bottom"/>
            <w:gridSpan w:val="2"/>
          </w:tcPr>
          <w:p>
            <w:pPr>
              <w:ind w:left="280"/>
              <w:spacing w:after="0"/>
              <w:rPr>
                <w:sz w:val="20"/>
                <w:szCs w:val="20"/>
                <w:color w:val="auto"/>
              </w:rPr>
            </w:pPr>
            <w:r>
              <w:rPr>
                <w:rFonts w:ascii="Arial" w:cs="Arial" w:eastAsia="Arial" w:hAnsi="Arial"/>
                <w:sz w:val="18"/>
                <w:szCs w:val="18"/>
                <w:color w:val="auto"/>
              </w:rPr>
              <w:t>Acting Chief Financial Officer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Alice Cheng (1)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Denny Lee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630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Tong (1)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6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Lun Feng</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30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Leung (1)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6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Michael Tong</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30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the audit, compensation and nominating committees.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i w:val="1"/>
          <w:iCs w:val="1"/>
          <w:color w:val="auto"/>
        </w:rPr>
        <w:t>William Lei Ding</w:t>
      </w:r>
      <w:r>
        <w:rPr>
          <w:rFonts w:ascii="Arial" w:cs="Arial" w:eastAsia="Arial" w:hAnsi="Arial"/>
          <w:sz w:val="16"/>
          <w:szCs w:val="16"/>
          <w:color w:val="auto"/>
        </w:rPr>
        <w:t>, our founder, has served as a director since July 1999 and as our Chief Executive Officer since November 2005. From March 2001</w:t>
      </w:r>
      <w:r>
        <w:rPr>
          <w:rFonts w:ascii="Arial" w:cs="Arial" w:eastAsia="Arial" w:hAnsi="Arial"/>
          <w:sz w:val="16"/>
          <w:szCs w:val="16"/>
          <w:i w:val="1"/>
          <w:iCs w:val="1"/>
          <w:color w:val="auto"/>
        </w:rPr>
        <w:t xml:space="preserve"> </w:t>
      </w:r>
      <w:r>
        <w:rPr>
          <w:rFonts w:ascii="Arial" w:cs="Arial" w:eastAsia="Arial" w:hAnsi="Arial"/>
          <w:sz w:val="16"/>
          <w:szCs w:val="16"/>
          <w:color w:val="auto"/>
        </w:rPr>
        <w:t>until November 2005, Mr. Ding served as our Chief Architect, and, from June 2001 until September 2001, he served as our Acting Chief Executive Officer and Acting Chief Operating Officer. Mr. Ding stepped down as Chairman of the board of directors in September 2001 (we currently have no permanently appointed Chairman). From July 1999 until March 2001, Mr. Ding served as Co-Chief Technology Officer, and from July 1999 until April 2000, he also served as our interim Chief Executive Officer. Mr. Ding established Guangzhou NetEase and Shanghai EaseNet, our affiliates, in May 1997 and</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January 2008. Mr. Ding holds a Bachelor of Science degree in Communication Technology from the University of Electronic Science and Technology of China.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Onward Choi </w:t>
      </w:r>
      <w:r>
        <w:rPr>
          <w:rFonts w:ascii="Arial" w:cs="Arial" w:eastAsia="Arial" w:hAnsi="Arial"/>
          <w:sz w:val="17"/>
          <w:szCs w:val="17"/>
          <w:color w:val="auto"/>
        </w:rPr>
        <w:t>has served as our Acting Chief Financial Officer since July 2007. Mr. Choi previously served as our Financial Controller from</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2005 to June 2007 and as our Corporate Finance Director from November 2003 to December 2004. Prior to joining our company, Mr. Choi worked in the Beijing office of Ernst &amp; Young, the Hong Kong Trade Development Council and the Hong Kong office of KPMG for over ten years. Mr. Choi currently serves as the chairman of the audit committee and an independent non-executive director for Beijing Jingkelong Company Limited and China ITS (Holdings) Co., Ltd., which are listed on the Stock Exchange of Hong Kong Limited, and the chairman of the audit committee and an independent non-executive director for Tuniu Corporation, which is listed on the Nasdaq Global Market. Mr. Choi is a member of the Institute of Chartered Accountants in England and Wales, a fellow member of the Association of Chartered Certified Accountants, a fellow member of the CPA Australia, a fellow member of the Hong Kong Institute of Certified Public Accountants and a registered practicing Certified Public Accountant in Hong Kong. Mr. Choi holds a Bachelor of Arts degree in accountancy with honors from the Hong Kong Polytechnic University.</w:t>
      </w:r>
    </w:p>
    <w:p>
      <w:pPr>
        <w:spacing w:after="0" w:line="18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Alice Cheng </w:t>
      </w:r>
      <w:r>
        <w:rPr>
          <w:rFonts w:ascii="Arial" w:cs="Arial" w:eastAsia="Arial" w:hAnsi="Arial"/>
          <w:sz w:val="16"/>
          <w:szCs w:val="16"/>
          <w:color w:val="auto"/>
        </w:rPr>
        <w:t>has served as a director since June 2007. Ms. Cheng has been the Chief Financial Officer of BBK Electronics Corp., Ltd., a PRC-based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of audio/visual equipment, since May 2005. From October 2010 to April 2013, she served as a supervisor of Wistron Information Technology Corporation in Taiwan, an information technology company with operations in Taiwan, China and Japan.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Denny Lee </w:t>
      </w:r>
      <w:r>
        <w:rPr>
          <w:rFonts w:ascii="Arial" w:cs="Arial" w:eastAsia="Arial" w:hAnsi="Arial"/>
          <w:sz w:val="16"/>
          <w:szCs w:val="16"/>
          <w:color w:val="auto"/>
        </w:rPr>
        <w:t>has served as a director since April 2002. Mr. Lee previously served as our Chief Financial Officer from April 2002 until June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Financial Controller from November 2001 until April 2002. Prior to joining our company, Mr. Lee worked in the Hong Kong office of KPMG for more than ten years. Mr. Lee graduated from the Hong Kong Polytechnic University majoring in accounting and is a member of the Hong Kong Institute of Certified Public Accountants and the Association of Chartered Certified Accountants. Mr. Lee currently serves as the chairman of the audit committees</w:t>
      </w:r>
    </w:p>
    <w:p>
      <w:pPr>
        <w:spacing w:after="0" w:line="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and an independent non-executive director on the boards of New Oriental Education &amp; Technology Group Inc. and Concord Medical Services Holdings Limited, which are listed on the New York Stock Exchange, chairman of the audit committees and an independent non-executive director on the board of Qunar Cayman Islands Limited, which is listed on the Nasdaq Global Market, and an independent non-executive director on the board of China Metal Resources Utilization Ltd., which is listed on the Hong Kong Stock Exchange.</w:t>
      </w:r>
    </w:p>
    <w:p>
      <w:pPr>
        <w:spacing w:after="0" w:line="190"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i w:val="1"/>
          <w:iCs w:val="1"/>
          <w:color w:val="auto"/>
        </w:rPr>
        <w:t xml:space="preserve">Joseph Tong </w:t>
      </w:r>
      <w:r>
        <w:rPr>
          <w:rFonts w:ascii="Arial" w:cs="Arial" w:eastAsia="Arial" w:hAnsi="Arial"/>
          <w:sz w:val="16"/>
          <w:szCs w:val="16"/>
          <w:color w:val="auto"/>
        </w:rPr>
        <w:t>has been a director of Parworld Investment Management Limited, which provides financial and investment advisory services,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2004.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w:t>
      </w:r>
    </w:p>
    <w:p>
      <w:pPr>
        <w:sectPr>
          <w:pgSz w:w="11900" w:h="16838" w:orient="portrait"/>
          <w:cols w:equalWidth="0" w:num="1">
            <w:col w:w="11420"/>
          </w:cols>
          <w:pgMar w:left="240" w:top="121" w:right="239" w:bottom="0" w:gutter="0" w:footer="0" w:header="0"/>
        </w:sectPr>
      </w:pPr>
    </w:p>
    <w:bookmarkStart w:id="56" w:name="page57"/>
    <w:bookmarkEnd w:id="56"/>
    <w:p>
      <w:pPr>
        <w:jc w:val="both"/>
        <w:ind w:right="160"/>
        <w:spacing w:after="0" w:line="286" w:lineRule="auto"/>
        <w:rPr>
          <w:sz w:val="20"/>
          <w:szCs w:val="20"/>
          <w:color w:val="auto"/>
        </w:rPr>
      </w:pPr>
      <w:r>
        <w:rPr>
          <w:rFonts w:ascii="Arial" w:cs="Arial" w:eastAsia="Arial" w:hAnsi="Arial"/>
          <w:sz w:val="17"/>
          <w:szCs w:val="17"/>
          <w:color w:val="auto"/>
        </w:rPr>
        <w:t>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and has served as a director since March 2003.</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Lun Feng </w:t>
      </w:r>
      <w:r>
        <w:rPr>
          <w:rFonts w:ascii="Arial" w:cs="Arial" w:eastAsia="Arial" w:hAnsi="Arial"/>
          <w:sz w:val="18"/>
          <w:szCs w:val="18"/>
          <w:color w:val="auto"/>
        </w:rPr>
        <w:t>has served as a director since July 2005. He has been the Chairman of Vantone Holdings Co., Ltd., a private real estate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China, since 1993. Mr. Feng has a Juris Doctor from the Chinese Academy of Social Sciences, a Masters of Law degree from the Party School of the Chinese Communist Party and a Bachelor of Arts in Economics from Northwest University.</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Michael Leung </w:t>
      </w:r>
      <w:r>
        <w:rPr>
          <w:rFonts w:ascii="Arial" w:cs="Arial" w:eastAsia="Arial" w:hAnsi="Arial"/>
          <w:sz w:val="17"/>
          <w:szCs w:val="17"/>
          <w:color w:val="auto"/>
        </w:rPr>
        <w:t>has served as a director since July 2002. Mr. Leung held senior positions with Peregrine Capital (China) Limited, SG Securities (HK)</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and an independent non-executive director of Anhui Expressway Company Limited and Junefield Department Store Group Limited, both of which are companies listed on the Stock Exchange of Hong Kong Limited. Mr. Leung currently serves as an independent non-executive director for China Ting Group Holdings Limited, Orange Sky Golden Harvest Entertainment (Holdings) Limited, China Huiyuan Juice Group Limited, Optics Valley Union Holding Company Limited and Luye Pharma Group Ltd. and as an executive director of Chanceton Financial Group Limited, all of which are companies listed on the Stock Exchange of Hong Kong Limited. Mr. Leung is also the responsible officer of Chanceton Capital Partners Limited, which provides advice on corporate finance. Mr. Leung received a Bachelor’s Degree in Social Sciences from the University of Hong Kong with a major in accounting, management and statistics.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Michael Tong </w:t>
      </w:r>
      <w:r>
        <w:rPr>
          <w:rFonts w:ascii="Arial" w:cs="Arial" w:eastAsia="Arial" w:hAnsi="Arial"/>
          <w:sz w:val="17"/>
          <w:szCs w:val="17"/>
          <w:color w:val="auto"/>
        </w:rPr>
        <w:t>has served as a director of our company since December 1999. He joined our company as an executive in May 2003 and later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Co-Chief Operating Officer from July 2004 to March 2009. Before joining our company as an executive, Mr. Tong had approximately seven years of experience in the investment industry working in several venture capital and private equity firms, including Techpacific Venture Capital Limited, Softbank China Venture Investments Limited and Nomura China Venture Investment Limited. Mr. Tong also served as a director for Qunar.com, a Chinese travel website, from October 2007 to June 2011. Mr. Tong graduated with a Bachelor of Business Administration from the University of Wisconsin, Madison with a major in Accounting and an extra concentration in Computer Science in 1993.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Among Directors or Executive Officers; Right to Nominate Directors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are no family relationships among any of the directors or executive officers of our company. None of our directors were nominated pursuant to a contractual or other right.</w:t>
      </w:r>
    </w:p>
    <w:p>
      <w:pPr>
        <w:spacing w:after="0" w:line="166" w:lineRule="exact"/>
        <w:rPr>
          <w:sz w:val="20"/>
          <w:szCs w:val="20"/>
          <w:color w:val="auto"/>
        </w:rPr>
      </w:pPr>
    </w:p>
    <w:p>
      <w:pPr>
        <w:jc w:val="both"/>
        <w:ind w:right="9620" w:firstLine="8"/>
        <w:spacing w:after="0" w:line="566" w:lineRule="auto"/>
        <w:tabs>
          <w:tab w:leader="none" w:pos="651"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Director Compensation</w:t>
      </w:r>
    </w:p>
    <w:p>
      <w:pPr>
        <w:spacing w:after="0" w:line="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2014, we paid an aggregate amount of RMB1.5 million (US$0.2 million) in compensation for the services of our independent non-executive directors. In February 2014, we also granted restricted share unit awards under our RSU Plan (described below) to each of our independent non-executive directors which vested on March 1, 2015. ADRs, representing less than 1% of our total outstanding ordinary shares, were given to the directors in settlement of such awards upon vesting.</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service contracts with any of our directors which provide for benefits upon termination.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we paid our executive officers aggregate cash compensation of RMB5.9 million (US$1.0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Restricted Share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Our board approved the NetEase.com, Inc. 2009 Restricted Share Unit Plan, or the RSU Plan, in November 2009. The RSU Plan was adopted by our board as a replacement for our Amended and Restated 2000 Stock Incentive Plan, which expired in February 2010 under its terms.</w:t>
      </w:r>
    </w:p>
    <w:p>
      <w:pPr>
        <w:spacing w:after="0" w:line="14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purpose of the RSU Plan is to attract and retain the best available personnel, to provide additional incentive to employees, directors and consultants and to promote the success of our business. The RSU Plan provides for the granting of incentive awards of restricted share units, which may or may not be granted with dividend equivalent rights. Participants under the RSU Plan will not receive any account status reports.</w:t>
      </w:r>
    </w:p>
    <w:p>
      <w:pPr>
        <w:sectPr>
          <w:pgSz w:w="11900" w:h="16838" w:orient="portrait"/>
          <w:cols w:equalWidth="0" w:num="1">
            <w:col w:w="11420"/>
          </w:cols>
          <w:pgMar w:left="240" w:top="125"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RSU Plan is not subject to the Employee Retirement Income Security Act of 1974, as amended, nor is the RSU Plan a “qualified plan” within the meaning of Section 401(a) of the Internal Revenue 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board has designated our compensation committee to administer the RSU Plan, and it may designate one or more of our officers to exercise its authority thereunder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Subject to the RSU Plan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maximum aggregate number of our ordinary shares which may be issued pursuant to all awards under the RSU Plan is 323,694,050 ordinary shares. Such ordinary shares may, in whole or in part, be authorized but unissued shares or shares that will have been or may be reacquired by us. It is anticipated that all future awards to our employees, directors and consultants will be granted pursuant to the RSU Plan or any other future plan adopted by our board and, if appropriate, our shareholders.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RSU Plan provides that in the event of certain corporate transactions, including specified types of mergers and acquisition transactions, each outstanding award granted under the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RSU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Under the RSU Plan, awards can be issued to participants in the RSU Plan, which include employees, directors or consultants of us, our subsidiaries or our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RSU Plan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Awards under the RSU Plan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purchase price, if any, for an award shall be determined by our board. The units can ultimately be paid in cash or ordinary shares, as our board determines.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Awards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p>
    <w:p>
      <w:pPr>
        <w:spacing w:after="0" w:line="229"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In the event of the termination of the participant’s employment or service with us for any reason prior to the vesting of any restricted share units, such unvested units held by the participant shall be automatically forfeited as of the date of termination. Neither the participant nor any of the participant’s successors, heirs, assigns or personal representatives shall have any rights or interests in any restricted share units that are so forfeited.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Termination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RSU Plan, our board may at any time terminate, suspend, or amend the RSU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RSU Plan will expire in November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RSU Plan, awards may not be sold, assigned, transferred, pledged, hypothecated or otherwise disposed of, except by will or by the laws of descent and distribution and during the lifetime of the participants, to the extent and in the manner provided in the award agreement. The RSU Plan permits the designation of beneficiaries by holders of awards in the event of the participant’s death. After any such transfer, the original recipient shall continue to remain subject to the withholding tax requirements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ectPr>
          <w:pgSz w:w="11900" w:h="16838" w:orient="portrait"/>
          <w:cols w:equalWidth="0" w:num="1">
            <w:col w:w="11400"/>
          </w:cols>
          <w:pgMar w:left="240" w:top="368" w:right="259" w:bottom="0" w:gutter="0" w:footer="0" w:header="0"/>
        </w:sectPr>
      </w:pPr>
    </w:p>
    <w:bookmarkStart w:id="58" w:name="page59"/>
    <w:bookmarkEnd w:id="58"/>
    <w:p>
      <w:pPr>
        <w:ind w:right="240" w:firstLine="648"/>
        <w:spacing w:after="0" w:line="286" w:lineRule="auto"/>
        <w:rPr>
          <w:sz w:val="20"/>
          <w:szCs w:val="20"/>
          <w:color w:val="auto"/>
        </w:rPr>
      </w:pPr>
      <w:r>
        <w:rPr>
          <w:rFonts w:ascii="Arial" w:cs="Arial" w:eastAsia="Arial" w:hAnsi="Arial"/>
          <w:sz w:val="17"/>
          <w:szCs w:val="17"/>
          <w:color w:val="auto"/>
        </w:rPr>
        <w:t>No ordinary shares shall be delivered under the RSU Plan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6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September 5, 2014.</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board has three committees, the audit committee, the compensation committee and the nominating committee. Alice Cheng, Joseph Tong and Michael Leung are currently the members of each of these committees.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 interlocking relationships have existed between our board of directors or compensation committee and the board of directors or compensation committee of any other company.</w:t>
      </w:r>
    </w:p>
    <w:p>
      <w:pPr>
        <w:spacing w:after="0" w:line="16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rFonts w:ascii="Arial" w:cs="Arial" w:eastAsia="Arial" w:hAnsi="Arial"/>
          <w:sz w:val="18"/>
          <w:szCs w:val="18"/>
          <w:b w:val="1"/>
          <w:bCs w:val="1"/>
          <w:color w:val="auto"/>
        </w:rPr>
      </w:pPr>
    </w:p>
    <w:p>
      <w:pPr>
        <w:ind w:left="640" w:right="2880" w:firstLine="13"/>
        <w:spacing w:after="0" w:line="539" w:lineRule="auto"/>
        <w:rPr>
          <w:rFonts w:ascii="Arial" w:cs="Arial" w:eastAsia="Arial" w:hAnsi="Arial"/>
          <w:sz w:val="18"/>
          <w:szCs w:val="18"/>
          <w:b w:val="1"/>
          <w:bCs w:val="1"/>
          <w:color w:val="auto"/>
        </w:rPr>
      </w:pPr>
      <w:r>
        <w:rPr>
          <w:rFonts w:ascii="Arial" w:cs="Arial" w:eastAsia="Arial" w:hAnsi="Arial"/>
          <w:sz w:val="17"/>
          <w:szCs w:val="17"/>
          <w:color w:val="auto"/>
        </w:rPr>
        <w:t>As of December 31, 2012, 2013 and 2014, we had 7,098, 7,688 and 10,004 full-time employees, respectively. The following table sets forth information regarding our staff as of December 31, 2014:</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Online game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3,727</w:t>
            </w:r>
          </w:p>
        </w:tc>
        <w:tc>
          <w:tcPr>
            <w:tcW w:w="1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Customer service</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Product development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E-mail</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Marketing</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CEEFF"/>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as of December 31, 2014, we had approximately 1,000 part-time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employees are represented by a labor union.</w:t>
      </w:r>
    </w:p>
    <w:p>
      <w:pPr>
        <w:spacing w:after="0" w:line="225" w:lineRule="exact"/>
        <w:rPr>
          <w:sz w:val="20"/>
          <w:szCs w:val="20"/>
          <w:color w:val="auto"/>
        </w:rPr>
      </w:pPr>
    </w:p>
    <w:p>
      <w:pPr>
        <w:jc w:val="both"/>
        <w:ind w:right="320" w:firstLine="638"/>
        <w:spacing w:after="0" w:line="264" w:lineRule="auto"/>
        <w:rPr>
          <w:sz w:val="20"/>
          <w:szCs w:val="20"/>
          <w:color w:val="auto"/>
        </w:rPr>
      </w:pPr>
      <w:r>
        <w:rPr>
          <w:rFonts w:ascii="Arial" w:cs="Arial" w:eastAsia="Arial" w:hAnsi="Arial"/>
          <w:sz w:val="18"/>
          <w:szCs w:val="18"/>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77"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right="680" w:firstLine="630"/>
        <w:spacing w:after="0" w:line="277" w:lineRule="auto"/>
        <w:rPr>
          <w:sz w:val="20"/>
          <w:szCs w:val="20"/>
          <w:color w:val="auto"/>
        </w:rPr>
      </w:pPr>
      <w:r>
        <w:rPr>
          <w:rFonts w:ascii="Arial" w:cs="Arial" w:eastAsia="Arial" w:hAnsi="Arial"/>
          <w:sz w:val="18"/>
          <w:szCs w:val="18"/>
          <w:color w:val="auto"/>
        </w:rPr>
        <w:t>The table in this section sets forth certain information known to us with respect to the beneficial ownership as of December 31, 2014 (unless otherwise indicated) by:</w:t>
      </w:r>
    </w:p>
    <w:p>
      <w:pPr>
        <w:sectPr>
          <w:pgSz w:w="11900" w:h="16838" w:orient="portrait"/>
          <w:cols w:equalWidth="0" w:num="1">
            <w:col w:w="11420"/>
          </w:cols>
          <w:pgMar w:left="240" w:top="125" w:right="239" w:bottom="0" w:gutter="0" w:footer="0" w:header="0"/>
        </w:sectPr>
      </w:pPr>
    </w:p>
    <w:bookmarkStart w:id="59" w:name="page60"/>
    <w:bookmarkEnd w:id="59"/>
    <w:p>
      <w:pPr>
        <w:spacing w:after="0" w:line="32" w:lineRule="exact"/>
        <w:rPr>
          <w:sz w:val="20"/>
          <w:szCs w:val="20"/>
          <w:color w:val="auto"/>
        </w:rPr>
      </w:pPr>
    </w:p>
    <w:p>
      <w:pPr>
        <w:ind w:left="1000" w:hanging="356"/>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persons who are beneficial owners of five percent or more of our ordinary shares,</w:t>
      </w:r>
    </w:p>
    <w:p>
      <w:pPr>
        <w:spacing w:after="0" w:line="225" w:lineRule="exact"/>
        <w:rPr>
          <w:rFonts w:ascii="Arial" w:cs="Arial" w:eastAsia="Arial" w:hAnsi="Arial"/>
          <w:sz w:val="18"/>
          <w:szCs w:val="18"/>
          <w:color w:val="auto"/>
        </w:rPr>
      </w:pPr>
    </w:p>
    <w:p>
      <w:pPr>
        <w:ind w:left="1000" w:hanging="356"/>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000" w:hanging="356"/>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Chief Executive Officer and Acting Chief Financial Officer, and</w:t>
      </w:r>
    </w:p>
    <w:p>
      <w:pPr>
        <w:spacing w:after="0" w:line="225" w:lineRule="exact"/>
        <w:rPr>
          <w:rFonts w:ascii="Arial" w:cs="Arial" w:eastAsia="Arial" w:hAnsi="Arial"/>
          <w:sz w:val="18"/>
          <w:szCs w:val="18"/>
          <w:color w:val="auto"/>
        </w:rPr>
      </w:pPr>
    </w:p>
    <w:p>
      <w:pPr>
        <w:ind w:left="1000" w:hanging="356"/>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140" w:firstLine="636"/>
        <w:spacing w:after="0" w:line="255" w:lineRule="auto"/>
        <w:rPr>
          <w:sz w:val="20"/>
          <w:szCs w:val="20"/>
          <w:color w:val="auto"/>
        </w:rPr>
      </w:pPr>
      <w:r>
        <w:rPr>
          <w:rFonts w:ascii="Arial" w:cs="Arial" w:eastAsia="Arial" w:hAnsi="Arial"/>
          <w:sz w:val="18"/>
          <w:szCs w:val="18"/>
          <w:color w:val="auto"/>
        </w:rPr>
        <w:t>As of December 31, 2014, 3,268,019,356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Number of Shares</w:t>
            </w:r>
          </w:p>
        </w:tc>
        <w:tc>
          <w:tcPr>
            <w:tcW w:w="4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Beneficially Owned</w:t>
            </w:r>
          </w:p>
        </w:tc>
        <w:tc>
          <w:tcPr>
            <w:tcW w:w="4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rPr>
              <w:t>Number</w:t>
            </w:r>
          </w:p>
        </w:tc>
        <w:tc>
          <w:tcPr>
            <w:tcW w:w="13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82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w:t>
            </w: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Shining Globe International Limited/William Lei Ding (1)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8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c/o NetEase, Inc., 26/F, SP Tower D, Tsinghua Science Park Building 8, No. 1 Zhongguancun East Road,</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Haidian District, Beijing, People’s Republic of China 100084</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1,456,000,000</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20"/>
                <w:szCs w:val="20"/>
                <w:color w:val="auto"/>
              </w:rPr>
            </w:pP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Orbis Investment Management Limited (2)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373,223,375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Lazard Asset Management LLC (3)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252,269,875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432"/>
        </w:trPr>
        <w:tc>
          <w:tcPr>
            <w:tcW w:w="8020" w:type="dxa"/>
            <w:vAlign w:val="bottom"/>
            <w:gridSpan w:val="2"/>
          </w:tcPr>
          <w:p>
            <w:pPr>
              <w:ind w:left="56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82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Number of Shares</w:t>
            </w:r>
          </w:p>
        </w:tc>
        <w:tc>
          <w:tcPr>
            <w:tcW w:w="4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Beneficially Owned</w:t>
            </w:r>
          </w:p>
        </w:tc>
        <w:tc>
          <w:tcPr>
            <w:tcW w:w="4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136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8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 and Directors (4)</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Onward Choi</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Alice Cheng</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Denny Lee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Tong</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Lun Feng</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Leung</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Michael Tong</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(8 persons) (5)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1,457,843,575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-2051050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440" w:right="420" w:hanging="43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Shining Globe International Limited is 100% owned by William Lei Ding, our founder, Chief Executive Officer and a director. Holdings consist of 1,406,000,000 ordinary shares and 2,000,000 ADSs.</w:t>
      </w:r>
    </w:p>
    <w:p>
      <w:pPr>
        <w:spacing w:after="0" w:line="170" w:lineRule="exact"/>
        <w:rPr>
          <w:rFonts w:ascii="Arial" w:cs="Arial" w:eastAsia="Arial" w:hAnsi="Arial"/>
          <w:sz w:val="18"/>
          <w:szCs w:val="18"/>
          <w:color w:val="auto"/>
        </w:rPr>
      </w:pPr>
    </w:p>
    <w:p>
      <w:pPr>
        <w:ind w:left="440" w:right="220" w:hanging="432"/>
        <w:spacing w:after="0" w:line="312" w:lineRule="auto"/>
        <w:tabs>
          <w:tab w:leader="none" w:pos="4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solely upon information contained in the Schedule 13G/A filed by Orbis Investment Management Limited with the SEC on February 17, 2015. The percentage of beneficial ownership was calculated based on the total number of our ordinary shares outstanding as of December 31, 2014. The address of the principal business office of the Orbis Investment Management Limited is Orbis House, 25 Front Street, Hamilton HM 11, Bermuda.</w:t>
      </w:r>
    </w:p>
    <w:p>
      <w:pPr>
        <w:spacing w:after="0" w:line="146" w:lineRule="exact"/>
        <w:rPr>
          <w:rFonts w:ascii="Arial" w:cs="Arial" w:eastAsia="Arial" w:hAnsi="Arial"/>
          <w:sz w:val="16"/>
          <w:szCs w:val="16"/>
          <w:color w:val="auto"/>
        </w:rPr>
      </w:pPr>
    </w:p>
    <w:p>
      <w:pPr>
        <w:ind w:left="440" w:right="160" w:hanging="432"/>
        <w:spacing w:after="0" w:line="286" w:lineRule="auto"/>
        <w:tabs>
          <w:tab w:leader="none" w:pos="4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solely upon information contained in the Schedule 13G/A filed by Lazard Asset Management LLC with the SEC on February 9, 2015. The percentage of beneficial ownership was calculated based on the total number of our ordinary shares outstanding as of December 31, 2014. The address of the principal business office of Lazard Asset Management LLC is 30 Rockefeller Plaza, New York, New York 10112.</w:t>
      </w:r>
    </w:p>
    <w:p>
      <w:pPr>
        <w:spacing w:after="0" w:line="165" w:lineRule="exact"/>
        <w:rPr>
          <w:rFonts w:ascii="Arial" w:cs="Arial" w:eastAsia="Arial" w:hAnsi="Arial"/>
          <w:sz w:val="17"/>
          <w:szCs w:val="17"/>
          <w:color w:val="auto"/>
        </w:rPr>
      </w:pPr>
    </w:p>
    <w:p>
      <w:pPr>
        <w:ind w:left="440" w:right="960" w:hanging="43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is c/o NetEase, Inc., 26/F, SP Tower D, Tsinghua Science Park Building 8, No. 1 Zhongguancun East Road, Haidian District, Beijing, the People’s Republic of China 100084.</w:t>
      </w:r>
    </w:p>
    <w:p>
      <w:pPr>
        <w:spacing w:after="0" w:line="170" w:lineRule="exact"/>
        <w:rPr>
          <w:rFonts w:ascii="Arial" w:cs="Arial" w:eastAsia="Arial" w:hAnsi="Arial"/>
          <w:sz w:val="18"/>
          <w:szCs w:val="18"/>
          <w:color w:val="auto"/>
        </w:rPr>
      </w:pPr>
    </w:p>
    <w:p>
      <w:pPr>
        <w:ind w:left="440" w:right="280" w:hanging="432"/>
        <w:spacing w:after="0" w:line="308" w:lineRule="auto"/>
        <w:tabs>
          <w:tab w:leader="none" w:pos="4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Shares owned by all of our current directors and executive officers as a group includes shares beneficially owned by William Lei Ding. Such amount includes ordinary shares and ordinary shares issuable upon vesting of RSUs held by our directors and executive officers as a group.</w:t>
      </w:r>
    </w:p>
    <w:p>
      <w:pPr>
        <w:spacing w:after="0" w:line="14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December 31, 2014, based on public filings with the SEC, there are no major shareholders holding 5% or more of our ordinary shares or ADSs representing ordinary shares, except as described above.</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2014, there were five ordinary shareholders of record with an address in the United States, including The Bank of New York Mellon, depositary of our ADS program, which held 1,862,365,965 ordinary shares as of that date.</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our knowledge, there are no arrangements the operation of which may at a subsequent date result in us undergoing a change in control.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major shareholders do not have different voting rights than any of our other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ectPr>
          <w:pgSz w:w="11900" w:h="16870" w:orient="portrait"/>
          <w:cols w:equalWidth="0" w:num="1">
            <w:col w:w="11460"/>
          </w:cols>
          <w:pgMar w:left="240" w:top="125" w:right="199" w:bottom="0" w:gutter="0" w:footer="0" w:header="0"/>
        </w:sectPr>
      </w:pPr>
    </w:p>
    <w:bookmarkStart w:id="60" w:name="page61"/>
    <w:bookmarkEnd w:id="60"/>
    <w:p>
      <w:pPr>
        <w:spacing w:after="0" w:line="3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Item 6.E. “Directors, Senior Management and Employees—Share Ownership.”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firstLine="506"/>
        <w:spacing w:after="0" w:line="272" w:lineRule="auto"/>
        <w:rPr>
          <w:sz w:val="20"/>
          <w:szCs w:val="20"/>
          <w:color w:val="auto"/>
        </w:rPr>
      </w:pPr>
      <w:r>
        <w:rPr>
          <w:rFonts w:ascii="Arial" w:cs="Arial" w:eastAsia="Arial" w:hAnsi="Arial"/>
          <w:sz w:val="17"/>
          <w:szCs w:val="17"/>
          <w:color w:val="auto"/>
        </w:rPr>
        <w:t>NetEase, Inc. and certain of its wholly owned subsidiaries have entered into a series of agreements with Guangzhou NetEase, Guangyitong Advertising and Hangzhou Leihuo and the shareholders of these entities under which we provide our Internet and e-commerce applications, services and technologies and advertising services to Guangzhou NetEase, Guangyitong Advertising and Hangzhou Leihuo, and they in turn provide certain of our online and mobile games and operate the NetEase websites, our online advertising business and e-mail and certain of our e-commerce and other fee-based premium services. We believe that the terms of each agreement are no less favorable than the terms that we could obtain from disinterested third parties and that the shareholders of Guangzhou NetEase, Guangyitong Advertising and Hangzhou Leihuo will not receive material benefits from these agreements except as shareholders of NetEase. These agreements are described below.</w:t>
      </w:r>
    </w:p>
    <w:p>
      <w:pPr>
        <w:spacing w:after="0" w:line="178" w:lineRule="exact"/>
        <w:rPr>
          <w:sz w:val="20"/>
          <w:szCs w:val="20"/>
          <w:color w:val="auto"/>
        </w:rPr>
      </w:pPr>
    </w:p>
    <w:p>
      <w:pPr>
        <w:ind w:right="160" w:firstLine="506"/>
        <w:spacing w:after="0" w:line="273" w:lineRule="auto"/>
        <w:rPr>
          <w:sz w:val="20"/>
          <w:szCs w:val="20"/>
          <w:color w:val="auto"/>
        </w:rPr>
      </w:pPr>
      <w:r>
        <w:rPr>
          <w:rFonts w:ascii="Arial" w:cs="Arial" w:eastAsia="Arial" w:hAnsi="Arial"/>
          <w:sz w:val="17"/>
          <w:szCs w:val="17"/>
          <w:color w:val="auto"/>
        </w:rPr>
        <w:t>In May 2014, NetEase Beijing caused the 10.0% equity interest in Guangzhou NetEase held by Bo Ding to be transferred to William Lei Ding, our Chief Executive Officer, director and major shareholder, and Xiaojun Hui, our vice president of game development. As a result of this transfer, William Lei Ding and Xiaojun Hui own 99.0% and 1.0% of the equity interest in Guangzhou NetEase, respectively. Concurrently, Bo Ding transferred the 20.0% equity interest in Guangyitong Advertising held by him to William Lei Ding such that Guangzhou NetEase and Mr. Ding own 80.0% and 20.0% of Guangyitong Advertising, respectively. Bo Ding requested that NetEase Beijing cause these transfers for personal reasons, and such transfers are not the result of any disagreement with our company or any of our affiliates on any matters.</w:t>
      </w:r>
    </w:p>
    <w:p>
      <w:pPr>
        <w:spacing w:after="0" w:line="178" w:lineRule="exact"/>
        <w:rPr>
          <w:sz w:val="20"/>
          <w:szCs w:val="20"/>
          <w:color w:val="auto"/>
        </w:rPr>
      </w:pPr>
    </w:p>
    <w:p>
      <w:pPr>
        <w:jc w:val="both"/>
        <w:ind w:left="1020" w:right="60" w:hanging="502"/>
        <w:spacing w:after="0" w:line="264" w:lineRule="auto"/>
        <w:tabs>
          <w:tab w:leader="none" w:pos="987"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Domain Name License Agreement between NetEase and Guangzhou NetEase. </w:t>
      </w:r>
      <w:r>
        <w:rPr>
          <w:rFonts w:ascii="Arial" w:cs="Arial" w:eastAsia="Arial" w:hAnsi="Arial"/>
          <w:sz w:val="18"/>
          <w:szCs w:val="18"/>
          <w:color w:val="auto"/>
        </w:rPr>
        <w:t>NetEase granted Guangzhou NetEase the right to use the domain</w:t>
      </w:r>
      <w:r>
        <w:rPr>
          <w:rFonts w:ascii="Arial" w:cs="Arial" w:eastAsia="Arial" w:hAnsi="Arial"/>
          <w:sz w:val="18"/>
          <w:szCs w:val="18"/>
          <w:i w:val="1"/>
          <w:iCs w:val="1"/>
          <w:color w:val="auto"/>
        </w:rPr>
        <w:t xml:space="preserve"> </w:t>
      </w:r>
      <w:r>
        <w:rPr>
          <w:rFonts w:ascii="Arial" w:cs="Arial" w:eastAsia="Arial" w:hAnsi="Arial"/>
          <w:sz w:val="18"/>
          <w:szCs w:val="18"/>
          <w:color w:val="auto"/>
        </w:rPr>
        <w:t>names “netease.com,” “163.com,” “126.com,” “yeah.net” and “nease.net” on the NetEase websites in China for license fees of RMB10,000 per year. NetEase may waive this fee at any time.</w:t>
      </w:r>
    </w:p>
    <w:p>
      <w:pPr>
        <w:spacing w:after="0" w:line="181" w:lineRule="exact"/>
        <w:rPr>
          <w:rFonts w:ascii="Arial" w:cs="Arial" w:eastAsia="Arial" w:hAnsi="Arial"/>
          <w:sz w:val="18"/>
          <w:szCs w:val="18"/>
          <w:color w:val="auto"/>
        </w:rPr>
      </w:pPr>
    </w:p>
    <w:p>
      <w:pPr>
        <w:ind w:left="1020" w:right="120" w:hanging="502"/>
        <w:spacing w:after="0" w:line="342" w:lineRule="auto"/>
        <w:tabs>
          <w:tab w:leader="none" w:pos="987"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Copyright License Agreement between NetEase Beijing and Guangzhou NetEase. </w:t>
      </w:r>
      <w:r>
        <w:rPr>
          <w:rFonts w:ascii="Arial" w:cs="Arial" w:eastAsia="Arial" w:hAnsi="Arial"/>
          <w:sz w:val="16"/>
          <w:szCs w:val="16"/>
          <w:color w:val="auto"/>
        </w:rPr>
        <w:t>NetEase Beijing granted Guangzhou NetEase the right to use</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Beijing’s web page layout in China for a royalty of RMB10,000 per year. NetEase Beijing may waive this fee at any time.</w:t>
      </w:r>
    </w:p>
    <w:p>
      <w:pPr>
        <w:spacing w:after="0" w:line="123" w:lineRule="exact"/>
        <w:rPr>
          <w:rFonts w:ascii="Arial" w:cs="Arial" w:eastAsia="Arial" w:hAnsi="Arial"/>
          <w:sz w:val="16"/>
          <w:szCs w:val="16"/>
          <w:color w:val="auto"/>
        </w:rPr>
      </w:pPr>
    </w:p>
    <w:p>
      <w:pPr>
        <w:jc w:val="both"/>
        <w:ind w:left="1020" w:right="40" w:hanging="502"/>
        <w:spacing w:after="0" w:line="264" w:lineRule="auto"/>
        <w:tabs>
          <w:tab w:leader="none" w:pos="987"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between NetEase Beijing and Guangzhou NetEase. </w:t>
      </w:r>
      <w:r>
        <w:rPr>
          <w:rFonts w:ascii="Arial" w:cs="Arial" w:eastAsia="Arial" w:hAnsi="Arial"/>
          <w:sz w:val="18"/>
          <w:szCs w:val="18"/>
          <w:color w:val="auto"/>
        </w:rPr>
        <w:t>NetEase Beijing granted Guangzhou NetEase a license to use</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Beijing’s registered trademarks on the NetEase websites in China for license fees of RMB10,000 per year. NetEase Beijing may waive this fee at any time.</w:t>
      </w:r>
    </w:p>
    <w:p>
      <w:pPr>
        <w:spacing w:after="0" w:line="181" w:lineRule="exact"/>
        <w:rPr>
          <w:rFonts w:ascii="Arial" w:cs="Arial" w:eastAsia="Arial" w:hAnsi="Arial"/>
          <w:sz w:val="18"/>
          <w:szCs w:val="18"/>
          <w:color w:val="auto"/>
        </w:rPr>
      </w:pPr>
    </w:p>
    <w:p>
      <w:pPr>
        <w:ind w:left="1020" w:hanging="526"/>
        <w:spacing w:after="0" w:line="254" w:lineRule="auto"/>
        <w:tabs>
          <w:tab w:leader="none" w:pos="989"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t>
      </w:r>
      <w:r>
        <w:rPr>
          <w:rFonts w:ascii="Arial" w:cs="Arial" w:eastAsia="Arial" w:hAnsi="Arial"/>
          <w:sz w:val="18"/>
          <w:szCs w:val="18"/>
          <w:color w:val="auto"/>
        </w:rPr>
        <w:t>Certain of our subsidiaries and Guangzhou NetEase and Guangyitong Advertising had entered into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cooperative agreements pursuant to which such subsidiaries provided technical support and consulting services to Guangzhou NetEase and Guangyitong Advertising in exchange for fees in accordance with a formula based on its expenses incurred. Such cooperative agreements included agreements between (i) Guangzhou NetEase and NetEase Hangzhou, (ii) Guangzhou NetEase and Boguan, (iii) Guangzhou NetEase and Guangzhou Information, (iv) Guangzhou NetEase and NetEase Beijing and (v) NetEase Beijing and Guangyitong Advertising. In 2012, we replaced these agreements with the following new cooperative agreements to reflect a change in the tax rules in China which resulted in our business in China becoming subject to a value-added tax instead of a business tax. See Item 5.A. “Operating Results — Sales Tax and Cultural Development Fee.”</w:t>
      </w:r>
    </w:p>
    <w:p>
      <w:pPr>
        <w:spacing w:after="0" w:line="192" w:lineRule="exact"/>
        <w:rPr>
          <w:rFonts w:ascii="Arial" w:cs="Arial" w:eastAsia="Arial" w:hAnsi="Arial"/>
          <w:sz w:val="18"/>
          <w:szCs w:val="18"/>
          <w:color w:val="auto"/>
        </w:rPr>
      </w:pPr>
    </w:p>
    <w:p>
      <w:pPr>
        <w:ind w:left="1540" w:right="340" w:hanging="7"/>
        <w:spacing w:after="0" w:line="342" w:lineRule="auto"/>
        <w:tabs>
          <w:tab w:leader="none" w:pos="1916" w:val="left"/>
        </w:tabs>
        <w:numPr>
          <w:ilvl w:val="2"/>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Cooperative Agreements with Guangzhou NetEase. </w:t>
      </w:r>
      <w:r>
        <w:rPr>
          <w:rFonts w:ascii="Arial" w:cs="Arial" w:eastAsia="Arial" w:hAnsi="Arial"/>
          <w:sz w:val="16"/>
          <w:szCs w:val="16"/>
          <w:color w:val="auto"/>
        </w:rPr>
        <w:t>Guangzhou NetEase has entered into cooperative agreements with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Beijing, Boguan and NetEase Hangzhou pursuant to which such subsidiaries have agreed to provide the following services:</w:t>
      </w:r>
    </w:p>
    <w:p>
      <w:pPr>
        <w:spacing w:after="0" w:line="123" w:lineRule="exact"/>
        <w:rPr>
          <w:rFonts w:ascii="Arial" w:cs="Arial" w:eastAsia="Arial" w:hAnsi="Arial"/>
          <w:sz w:val="16"/>
          <w:szCs w:val="16"/>
          <w:color w:val="auto"/>
        </w:rPr>
      </w:pPr>
    </w:p>
    <w:p>
      <w:pPr>
        <w:ind w:left="2600" w:hanging="566"/>
        <w:spacing w:after="0" w:line="277" w:lineRule="auto"/>
        <w:tabs>
          <w:tab w:leader="none" w:pos="2564" w:val="left"/>
        </w:tabs>
        <w:numPr>
          <w:ilvl w:val="3"/>
          <w:numId w:val="54"/>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online games software) and technical support and maintenance for the operation of computer software;</w:t>
      </w:r>
    </w:p>
    <w:p>
      <w:pPr>
        <w:spacing w:after="0" w:line="170" w:lineRule="exact"/>
        <w:rPr>
          <w:rFonts w:ascii="Arial" w:cs="Arial" w:eastAsia="Arial" w:hAnsi="Arial"/>
          <w:sz w:val="18"/>
          <w:szCs w:val="18"/>
          <w:color w:val="auto"/>
        </w:rPr>
      </w:pPr>
    </w:p>
    <w:p>
      <w:pPr>
        <w:ind w:left="2600" w:right="40" w:hanging="566"/>
        <w:spacing w:after="0" w:line="277" w:lineRule="auto"/>
        <w:tabs>
          <w:tab w:leader="none" w:pos="2564" w:val="left"/>
        </w:tabs>
        <w:numPr>
          <w:ilvl w:val="3"/>
          <w:numId w:val="54"/>
        </w:numPr>
        <w:rPr>
          <w:rFonts w:ascii="Arial" w:cs="Arial" w:eastAsia="Arial" w:hAnsi="Arial"/>
          <w:sz w:val="18"/>
          <w:szCs w:val="18"/>
          <w:color w:val="auto"/>
        </w:rPr>
      </w:pPr>
      <w:r>
        <w:rPr>
          <w:rFonts w:ascii="Arial" w:cs="Arial" w:eastAsia="Arial" w:hAnsi="Arial"/>
          <w:sz w:val="18"/>
          <w:szCs w:val="18"/>
          <w:color w:val="auto"/>
        </w:rPr>
        <w:t>technical service for Internet portal,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2560" w:hanging="526"/>
        <w:spacing w:after="0"/>
        <w:tabs>
          <w:tab w:leader="none" w:pos="2560" w:val="left"/>
        </w:tabs>
        <w:numPr>
          <w:ilvl w:val="3"/>
          <w:numId w:val="54"/>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ind w:left="1540" w:right="80"/>
        <w:spacing w:after="0" w:line="259" w:lineRule="auto"/>
        <w:rPr>
          <w:sz w:val="20"/>
          <w:szCs w:val="20"/>
          <w:color w:val="auto"/>
        </w:rPr>
      </w:pPr>
      <w:r>
        <w:rPr>
          <w:rFonts w:ascii="Arial" w:cs="Arial" w:eastAsia="Arial" w:hAnsi="Arial"/>
          <w:sz w:val="18"/>
          <w:szCs w:val="18"/>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objects.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540" w:right="560" w:hanging="1"/>
        <w:spacing w:after="0" w:line="277" w:lineRule="auto"/>
        <w:tabs>
          <w:tab w:leader="none" w:pos="1923"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NetEase Beijing and Guangyitong Advertising. </w:t>
      </w:r>
      <w:r>
        <w:rPr>
          <w:rFonts w:ascii="Arial" w:cs="Arial" w:eastAsia="Arial" w:hAnsi="Arial"/>
          <w:sz w:val="18"/>
          <w:szCs w:val="18"/>
          <w:color w:val="auto"/>
        </w:rPr>
        <w:t>Under this cooperative agreement,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Beijing has agreed to provide the following services:</w:t>
      </w:r>
    </w:p>
    <w:p>
      <w:pPr>
        <w:spacing w:after="0" w:line="170" w:lineRule="exact"/>
        <w:rPr>
          <w:rFonts w:ascii="Arial" w:cs="Arial" w:eastAsia="Arial" w:hAnsi="Arial"/>
          <w:sz w:val="18"/>
          <w:szCs w:val="18"/>
          <w:color w:val="auto"/>
        </w:rPr>
      </w:pPr>
    </w:p>
    <w:p>
      <w:pPr>
        <w:ind w:left="2600" w:right="120" w:hanging="566"/>
        <w:spacing w:after="0" w:line="264" w:lineRule="auto"/>
        <w:tabs>
          <w:tab w:leader="none" w:pos="25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the production, distribution, monitoring and management software of online advertisement) and technical support and maintenance for the operation of computer software;</w:t>
      </w:r>
    </w:p>
    <w:p>
      <w:pPr>
        <w:spacing w:after="0" w:line="181" w:lineRule="exact"/>
        <w:rPr>
          <w:rFonts w:ascii="Arial" w:cs="Arial" w:eastAsia="Arial" w:hAnsi="Arial"/>
          <w:sz w:val="18"/>
          <w:szCs w:val="18"/>
          <w:color w:val="auto"/>
        </w:rPr>
      </w:pPr>
    </w:p>
    <w:p>
      <w:pPr>
        <w:ind w:left="2560" w:hanging="526"/>
        <w:spacing w:after="0"/>
        <w:tabs>
          <w:tab w:leader="none" w:pos="2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 development, update and upgrade of advertisement distribution platform;</w:t>
      </w:r>
    </w:p>
    <w:p>
      <w:pPr>
        <w:sectPr>
          <w:pgSz w:w="11900" w:h="16874" w:orient="portrait"/>
          <w:cols w:equalWidth="0" w:num="1">
            <w:col w:w="11420"/>
          </w:cols>
          <w:pgMar w:left="240" w:top="337" w:right="239" w:bottom="0" w:gutter="0" w:footer="0" w:header="0"/>
        </w:sectPr>
      </w:pPr>
    </w:p>
    <w:bookmarkStart w:id="61" w:name="page62"/>
    <w:bookmarkEnd w:id="61"/>
    <w:p>
      <w:pPr>
        <w:spacing w:after="0" w:line="69" w:lineRule="exact"/>
        <w:rPr>
          <w:sz w:val="20"/>
          <w:szCs w:val="20"/>
          <w:color w:val="auto"/>
        </w:rPr>
      </w:pPr>
    </w:p>
    <w:p>
      <w:pPr>
        <w:ind w:left="2600" w:right="20" w:hanging="566"/>
        <w:spacing w:after="0" w:line="277" w:lineRule="auto"/>
        <w:tabs>
          <w:tab w:leader="none" w:pos="25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technical service for Internet portal,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2560" w:hanging="526"/>
        <w:spacing w:after="0"/>
        <w:tabs>
          <w:tab w:leader="none" w:pos="2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Guangyitong Advertising has agreed to pay a monthly service fee to NetEase Beijing in accordance with a formula based on its expenses incurred. This agreement was effective from April 1, 2012 to September 30, 2013.</w:t>
      </w:r>
    </w:p>
    <w:p>
      <w:pPr>
        <w:spacing w:after="0" w:line="170" w:lineRule="exact"/>
        <w:rPr>
          <w:sz w:val="20"/>
          <w:szCs w:val="20"/>
          <w:color w:val="auto"/>
        </w:rPr>
      </w:pPr>
    </w:p>
    <w:p>
      <w:pPr>
        <w:ind w:left="1540" w:right="240" w:hanging="1"/>
        <w:spacing w:after="0" w:line="277" w:lineRule="auto"/>
        <w:tabs>
          <w:tab w:leader="none" w:pos="192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Media Beijing and Guangyitong Advertising. </w:t>
      </w:r>
      <w:r>
        <w:rPr>
          <w:rFonts w:ascii="Arial" w:cs="Arial" w:eastAsia="Arial" w:hAnsi="Arial"/>
          <w:sz w:val="18"/>
          <w:szCs w:val="18"/>
          <w:color w:val="auto"/>
        </w:rPr>
        <w:t>Under this cooperative agreement, Media Beijing</w:t>
      </w:r>
      <w:r>
        <w:rPr>
          <w:rFonts w:ascii="Arial" w:cs="Arial" w:eastAsia="Arial" w:hAnsi="Arial"/>
          <w:sz w:val="18"/>
          <w:szCs w:val="18"/>
          <w:i w:val="1"/>
          <w:iCs w:val="1"/>
          <w:color w:val="auto"/>
        </w:rPr>
        <w:t xml:space="preserve"> </w:t>
      </w:r>
      <w:r>
        <w:rPr>
          <w:rFonts w:ascii="Arial" w:cs="Arial" w:eastAsia="Arial" w:hAnsi="Arial"/>
          <w:sz w:val="18"/>
          <w:szCs w:val="18"/>
          <w:color w:val="auto"/>
        </w:rPr>
        <w:t>has agreed to provide the following services:</w:t>
      </w:r>
    </w:p>
    <w:p>
      <w:pPr>
        <w:spacing w:after="0" w:line="170" w:lineRule="exact"/>
        <w:rPr>
          <w:rFonts w:ascii="Arial" w:cs="Arial" w:eastAsia="Arial" w:hAnsi="Arial"/>
          <w:sz w:val="18"/>
          <w:szCs w:val="18"/>
          <w:color w:val="auto"/>
        </w:rPr>
      </w:pPr>
    </w:p>
    <w:p>
      <w:pPr>
        <w:ind w:left="2600" w:right="100" w:hanging="566"/>
        <w:spacing w:after="0" w:line="264" w:lineRule="auto"/>
        <w:tabs>
          <w:tab w:leader="none" w:pos="25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the production, distribution, monitoring and management software of online advertisement) and technical support and maintenance for the operation of computer software;</w:t>
      </w:r>
    </w:p>
    <w:p>
      <w:pPr>
        <w:spacing w:after="0" w:line="181" w:lineRule="exact"/>
        <w:rPr>
          <w:rFonts w:ascii="Arial" w:cs="Arial" w:eastAsia="Arial" w:hAnsi="Arial"/>
          <w:sz w:val="18"/>
          <w:szCs w:val="18"/>
          <w:color w:val="auto"/>
        </w:rPr>
      </w:pPr>
    </w:p>
    <w:p>
      <w:pPr>
        <w:ind w:left="2560" w:hanging="526"/>
        <w:spacing w:after="0"/>
        <w:tabs>
          <w:tab w:leader="none" w:pos="25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 development, update and upgrade of advertisement distribution platform;</w:t>
      </w:r>
    </w:p>
    <w:p>
      <w:pPr>
        <w:spacing w:after="0" w:line="225" w:lineRule="exact"/>
        <w:rPr>
          <w:rFonts w:ascii="Arial" w:cs="Arial" w:eastAsia="Arial" w:hAnsi="Arial"/>
          <w:sz w:val="18"/>
          <w:szCs w:val="18"/>
          <w:color w:val="auto"/>
        </w:rPr>
      </w:pPr>
    </w:p>
    <w:p>
      <w:pPr>
        <w:ind w:left="2600" w:right="20" w:hanging="566"/>
        <w:spacing w:after="0" w:line="277" w:lineRule="auto"/>
        <w:tabs>
          <w:tab w:leader="none" w:pos="25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technical service for Internet portal,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2560" w:hanging="526"/>
        <w:spacing w:after="0"/>
        <w:tabs>
          <w:tab w:leader="none" w:pos="25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jc w:val="both"/>
        <w:ind w:left="1540" w:right="80"/>
        <w:spacing w:after="0" w:line="342" w:lineRule="auto"/>
        <w:rPr>
          <w:sz w:val="20"/>
          <w:szCs w:val="20"/>
          <w:color w:val="auto"/>
        </w:rPr>
      </w:pPr>
      <w:r>
        <w:rPr>
          <w:rFonts w:ascii="Arial" w:cs="Arial" w:eastAsia="Arial" w:hAnsi="Arial"/>
          <w:sz w:val="16"/>
          <w:szCs w:val="16"/>
          <w:color w:val="auto"/>
        </w:rPr>
        <w:t>Guangyitong Advertising has agreed to pay a monthly service fee to Media Beijing in accordance with a formula based on its expenses incurred. This agreement was effective from October 1, 2013 and will continue to be effective unless any one of the two parties objects.</w:t>
      </w:r>
    </w:p>
    <w:p>
      <w:pPr>
        <w:spacing w:after="0" w:line="124" w:lineRule="exact"/>
        <w:rPr>
          <w:sz w:val="20"/>
          <w:szCs w:val="20"/>
          <w:color w:val="auto"/>
        </w:rPr>
      </w:pPr>
    </w:p>
    <w:p>
      <w:pPr>
        <w:ind w:left="1020" w:right="80" w:hanging="502"/>
        <w:spacing w:after="0" w:line="259" w:lineRule="auto"/>
        <w:tabs>
          <w:tab w:leader="none" w:pos="98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Online Advertising Agreement between Guangzhou NetEase and Guangyitong Advertising. </w:t>
      </w:r>
      <w:r>
        <w:rPr>
          <w:rFonts w:ascii="Arial" w:cs="Arial" w:eastAsia="Arial" w:hAnsi="Arial"/>
          <w:sz w:val="18"/>
          <w:szCs w:val="18"/>
          <w:color w:val="auto"/>
        </w:rPr>
        <w:t>Guangzhou NetEase sells all of the banner space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NetEase websites to Guangyitong Advertising and publishes the advertisements provided by Guangyitong Advertising on the banner space purchased by Guangyitong Advertising. Guangyitong Advertising pays Guangzhou NetEase RMB10,000 per year. Guangzhou NetEase may waive this fee at any time.</w:t>
      </w:r>
    </w:p>
    <w:p>
      <w:pPr>
        <w:spacing w:after="0" w:line="187" w:lineRule="exact"/>
        <w:rPr>
          <w:sz w:val="20"/>
          <w:szCs w:val="20"/>
          <w:color w:val="auto"/>
        </w:rPr>
      </w:pPr>
    </w:p>
    <w:p>
      <w:pPr>
        <w:ind w:right="320" w:firstLine="506"/>
        <w:spacing w:after="0" w:line="264" w:lineRule="auto"/>
        <w:rPr>
          <w:sz w:val="20"/>
          <w:szCs w:val="20"/>
          <w:color w:val="auto"/>
        </w:rPr>
      </w:pPr>
      <w:r>
        <w:rPr>
          <w:rFonts w:ascii="Arial" w:cs="Arial" w:eastAsia="Arial" w:hAnsi="Arial"/>
          <w:sz w:val="18"/>
          <w:szCs w:val="18"/>
          <w:color w:val="auto"/>
        </w:rPr>
        <w:t>By supplemental agreements entered into between the relevant parties in August 2005, the respective terms of the foregoing two agreements are automatically renewable for successive one year terms, unless, in the case of the Exclusive Advertising Agency Agreement, NetEase, or in the case of the Online Advertising Agreement, Guangzhou NetEase, objects to such renewal.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60" w:right="200" w:hanging="541"/>
        <w:spacing w:after="0" w:line="277" w:lineRule="auto"/>
        <w:tabs>
          <w:tab w:leader="none" w:pos="1021"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Trademark Transfer Agreement between Guangzhou NetEase and NetEase Beijing. </w:t>
      </w:r>
      <w:r>
        <w:rPr>
          <w:rFonts w:ascii="Arial" w:cs="Arial" w:eastAsia="Arial" w:hAnsi="Arial"/>
          <w:sz w:val="18"/>
          <w:szCs w:val="18"/>
          <w:color w:val="auto"/>
        </w:rPr>
        <w:t>Under this agreement, Guangzhou NetEase transferred its</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trademarks to NetEase Beijing.</w:t>
      </w:r>
    </w:p>
    <w:p>
      <w:pPr>
        <w:spacing w:after="0" w:line="170" w:lineRule="exact"/>
        <w:rPr>
          <w:rFonts w:ascii="Arial" w:cs="Arial" w:eastAsia="Arial" w:hAnsi="Arial"/>
          <w:sz w:val="18"/>
          <w:szCs w:val="18"/>
          <w:color w:val="auto"/>
        </w:rPr>
      </w:pPr>
    </w:p>
    <w:p>
      <w:pPr>
        <w:ind w:left="1060" w:right="40" w:hanging="541"/>
        <w:spacing w:after="0" w:line="342" w:lineRule="auto"/>
        <w:tabs>
          <w:tab w:leader="none" w:pos="102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Agreement between NetEase Beijing and Guangzhou NetEase. </w:t>
      </w:r>
      <w:r>
        <w:rPr>
          <w:rFonts w:ascii="Arial" w:cs="Arial" w:eastAsia="Arial" w:hAnsi="Arial"/>
          <w:sz w:val="16"/>
          <w:szCs w:val="16"/>
          <w:color w:val="auto"/>
        </w:rPr>
        <w:t>NetEase Beijing may not grant the license to use its domain name,</w:t>
      </w:r>
      <w:r>
        <w:rPr>
          <w:rFonts w:ascii="Arial" w:cs="Arial" w:eastAsia="Arial" w:hAnsi="Arial"/>
          <w:sz w:val="16"/>
          <w:szCs w:val="16"/>
          <w:i w:val="1"/>
          <w:iCs w:val="1"/>
          <w:color w:val="auto"/>
        </w:rPr>
        <w:t xml:space="preserve"> </w:t>
      </w:r>
      <w:r>
        <w:rPr>
          <w:rFonts w:ascii="Arial" w:cs="Arial" w:eastAsia="Arial" w:hAnsi="Arial"/>
          <w:sz w:val="16"/>
          <w:szCs w:val="16"/>
          <w:color w:val="auto"/>
        </w:rPr>
        <w:t>copyright and trademark to any third party without Guangzhou NetEase’s consent and may not provide technical service to any third party.</w:t>
      </w:r>
    </w:p>
    <w:p>
      <w:pPr>
        <w:spacing w:after="0" w:line="123" w:lineRule="exact"/>
        <w:rPr>
          <w:rFonts w:ascii="Arial" w:cs="Arial" w:eastAsia="Arial" w:hAnsi="Arial"/>
          <w:sz w:val="16"/>
          <w:szCs w:val="16"/>
          <w:color w:val="auto"/>
        </w:rPr>
      </w:pPr>
    </w:p>
    <w:p>
      <w:pPr>
        <w:ind w:left="1060" w:right="40" w:hanging="541"/>
        <w:spacing w:after="0" w:line="297" w:lineRule="auto"/>
        <w:tabs>
          <w:tab w:leader="none" w:pos="102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Beijing, Guangyitong Advertising and the ultimate shareholders of Guangyitong Advertising. </w:t>
      </w:r>
      <w:r>
        <w:rPr>
          <w:rFonts w:ascii="Arial" w:cs="Arial" w:eastAsia="Arial" w:hAnsi="Arial"/>
          <w:sz w:val="16"/>
          <w:szCs w:val="16"/>
          <w:color w:val="auto"/>
        </w:rPr>
        <w:t>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the successful performance of the various agreements between the parties, Guangyitong Advertising and its ultimate shareholders have agreed that they will not enter into any transaction, or fail to take any action, that would substantially affect the assets, liabilities, equity or operations of Guangyitong Advertising without the prior written consent of NetEase Beijing. NetEase Beijing has also agreed that it will provide performance guarantees and guarantee loans for working capital purposes to the extent required by Guangyitong Advertising for its operations.</w:t>
      </w:r>
    </w:p>
    <w:p>
      <w:pPr>
        <w:spacing w:after="0" w:line="158" w:lineRule="exact"/>
        <w:rPr>
          <w:sz w:val="20"/>
          <w:szCs w:val="20"/>
          <w:color w:val="auto"/>
        </w:rPr>
      </w:pPr>
    </w:p>
    <w:p>
      <w:pPr>
        <w:ind w:left="1060" w:right="80"/>
        <w:spacing w:after="0" w:line="264" w:lineRule="auto"/>
        <w:rPr>
          <w:sz w:val="20"/>
          <w:szCs w:val="20"/>
          <w:color w:val="auto"/>
        </w:rPr>
      </w:pPr>
      <w:r>
        <w:rPr>
          <w:rFonts w:ascii="Arial" w:cs="Arial" w:eastAsia="Arial" w:hAnsi="Arial"/>
          <w:sz w:val="18"/>
          <w:szCs w:val="18"/>
          <w:color w:val="auto"/>
        </w:rPr>
        <w:t>NetEase Beijing has the right to transfer and sell its interests in the Operating Agreement or any other agreements between it and Guangyitong Advertising. The term of this agreement is 20 years from February 3, 2000, and it was amended and novated on May 1, 2014 in connection with the equity transfer to Mr. Hui described above.</w:t>
      </w:r>
    </w:p>
    <w:p>
      <w:pPr>
        <w:spacing w:after="0" w:line="181" w:lineRule="exact"/>
        <w:rPr>
          <w:sz w:val="20"/>
          <w:szCs w:val="20"/>
          <w:color w:val="auto"/>
        </w:rPr>
      </w:pPr>
    </w:p>
    <w:p>
      <w:pPr>
        <w:ind w:left="1060"/>
        <w:spacing w:after="0" w:line="276" w:lineRule="auto"/>
        <w:rPr>
          <w:sz w:val="20"/>
          <w:szCs w:val="20"/>
          <w:color w:val="auto"/>
        </w:rPr>
      </w:pPr>
      <w:r>
        <w:rPr>
          <w:rFonts w:ascii="Arial" w:cs="Arial" w:eastAsia="Arial" w:hAnsi="Arial"/>
          <w:sz w:val="17"/>
          <w:szCs w:val="17"/>
          <w:color w:val="auto"/>
        </w:rPr>
        <w:t>In addition, the parties have agreed that upon NetEase Beijing’s determination and at any time when NetEase Beijing is able to obtain approval to invest in and operate all or any part of Guangyitong Advertising or Guangzhou NetEase, NetEase Beijing may acquire all or any part of the assets or equity interests of Guangyitong Advertising or Guangzhou NetEase, to the extent permitted by Chinese law. Furthermore, the ultimate shareholders of Guangyitong Advertising have agreed that upon instruction from NetEase Beijing, they will appoint or terminate Guangyitong Advertising’s board members, General Manager, Chief Financial Officer and other senior officers.</w:t>
      </w:r>
    </w:p>
    <w:p>
      <w:pPr>
        <w:spacing w:after="0" w:line="173" w:lineRule="exact"/>
        <w:rPr>
          <w:sz w:val="20"/>
          <w:szCs w:val="20"/>
          <w:color w:val="auto"/>
        </w:rPr>
      </w:pPr>
    </w:p>
    <w:p>
      <w:pPr>
        <w:ind w:left="1060" w:right="20" w:hanging="541"/>
        <w:spacing w:after="0" w:line="270" w:lineRule="auto"/>
        <w:tabs>
          <w:tab w:leader="none" w:pos="1021"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Shareholder Voting Rights Trust Agreement among NetEase Beijing and the Individual Shareholders of Guangyitong Advertising and Guangzhou NetEase. </w:t>
      </w:r>
      <w:r>
        <w:rPr>
          <w:rFonts w:ascii="Arial" w:cs="Arial" w:eastAsia="Arial" w:hAnsi="Arial"/>
          <w:sz w:val="17"/>
          <w:szCs w:val="17"/>
          <w:color w:val="auto"/>
        </w:rPr>
        <w:t>William Lei Ding (replacing Bo Ding upon the equity transfer described above) irrevocably appoints NetEase Beijing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him to exercise all the voting rights to which he is entitled as a shareholder of Guangyitong Advertising, and William Lei Ding and Xiaojun Hui (replacing Bo Ding upon the equity transfer described above) agreed to cause Guangzhou NetEase to irrevocably appoint NetEase Beijing to represent Guangzhou NetEase to exercise all the voting rights to which Guangzhou NetEase is entitled as a shareholder of Guangyitong Advertising. Each of Mr. Ding and Mr. Hui also irrevocably agreed to appoint NetEase Beijing to represent him to exercise all voting rights to which he is entitled as a shareholder of Guangzhou NetEase. The term of this agreement was ten years from May 12, 2000, which was extended on June 10, 2011 with a term of 20 years from May 12, 2010. This agreement was also amended and novated on May 1, 2014 in connection with the equity transfer to Mr. Hui described above.</w:t>
      </w:r>
    </w:p>
    <w:p>
      <w:pPr>
        <w:spacing w:after="0" w:line="181" w:lineRule="exact"/>
        <w:rPr>
          <w:rFonts w:ascii="Arial" w:cs="Arial" w:eastAsia="Arial" w:hAnsi="Arial"/>
          <w:sz w:val="17"/>
          <w:szCs w:val="17"/>
          <w:color w:val="auto"/>
        </w:rPr>
      </w:pPr>
    </w:p>
    <w:p>
      <w:pPr>
        <w:ind w:left="1000" w:hanging="482"/>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Agreement between NetEase Beijing and Guangzhou NetEase. </w:t>
      </w:r>
      <w:r>
        <w:rPr>
          <w:rFonts w:ascii="Arial" w:cs="Arial" w:eastAsia="Arial" w:hAnsi="Arial"/>
          <w:sz w:val="16"/>
          <w:szCs w:val="16"/>
          <w:color w:val="auto"/>
        </w:rPr>
        <w:t>NetEase Beijing agrees to pay the operating costs of Guangzhou NetEase.</w:t>
      </w:r>
    </w:p>
    <w:p>
      <w:pPr>
        <w:spacing w:after="0" w:line="248" w:lineRule="exact"/>
        <w:rPr>
          <w:rFonts w:ascii="Arial" w:cs="Arial" w:eastAsia="Arial" w:hAnsi="Arial"/>
          <w:sz w:val="16"/>
          <w:szCs w:val="16"/>
          <w:color w:val="auto"/>
        </w:rPr>
      </w:pPr>
    </w:p>
    <w:p>
      <w:pPr>
        <w:ind w:left="1020" w:right="80" w:hanging="502"/>
        <w:spacing w:after="0" w:line="342" w:lineRule="auto"/>
        <w:tabs>
          <w:tab w:leader="none" w:pos="987"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Letter of Agreement. </w:t>
      </w:r>
      <w:r>
        <w:rPr>
          <w:rFonts w:ascii="Arial" w:cs="Arial" w:eastAsia="Arial" w:hAnsi="Arial"/>
          <w:sz w:val="16"/>
          <w:szCs w:val="16"/>
          <w:color w:val="auto"/>
        </w:rPr>
        <w:t>Each of William Lei Ding and Xiaojun Hui (replacing Bo Ding upon the equity transfer described above) have agreed that</w:t>
      </w:r>
      <w:r>
        <w:rPr>
          <w:rFonts w:ascii="Arial" w:cs="Arial" w:eastAsia="Arial" w:hAnsi="Arial"/>
          <w:sz w:val="16"/>
          <w:szCs w:val="16"/>
          <w:i w:val="1"/>
          <w:iCs w:val="1"/>
          <w:color w:val="auto"/>
        </w:rPr>
        <w:t xml:space="preserve"> </w:t>
      </w:r>
      <w:r>
        <w:rPr>
          <w:rFonts w:ascii="Arial" w:cs="Arial" w:eastAsia="Arial" w:hAnsi="Arial"/>
          <w:sz w:val="16"/>
          <w:szCs w:val="16"/>
          <w:color w:val="auto"/>
        </w:rPr>
        <w:t>any amendments to be made to the Shareholder Voting Rights Trust Agreement, the Operating Agreement, the Equity Pledge Agreement</w:t>
      </w:r>
    </w:p>
    <w:p>
      <w:pPr>
        <w:sectPr>
          <w:pgSz w:w="11900" w:h="16908" w:orient="portrait"/>
          <w:cols w:equalWidth="0" w:num="1">
            <w:col w:w="11400"/>
          </w:cols>
          <w:pgMar w:left="240" w:top="341" w:right="259" w:bottom="0" w:gutter="0" w:footer="0" w:header="0"/>
        </w:sectPr>
      </w:pPr>
    </w:p>
    <w:bookmarkStart w:id="62" w:name="page63"/>
    <w:bookmarkEnd w:id="62"/>
    <w:p>
      <w:pPr>
        <w:ind w:left="1020" w:right="220"/>
        <w:spacing w:after="0" w:line="291" w:lineRule="auto"/>
        <w:rPr>
          <w:sz w:val="20"/>
          <w:szCs w:val="20"/>
          <w:color w:val="auto"/>
        </w:rPr>
      </w:pPr>
      <w:r>
        <w:rPr>
          <w:rFonts w:ascii="Arial" w:cs="Arial" w:eastAsia="Arial" w:hAnsi="Arial"/>
          <w:sz w:val="16"/>
          <w:szCs w:val="16"/>
          <w:color w:val="auto"/>
        </w:rPr>
        <w:t>(described below) and the Loan Agreement (described below), as well as all other agreements to which our company, NetEase Beijing and/or their respective affiliates is a party, on the one hand, and any of their variable interest entities and/or the shareholders of such entities, on the other hand, shall be subject to the approval by the vote of a majority of our board, excluding the vote of William Lei Ding. Messrs. Ding and Hui have also agreed that, if any amendments to the above mentioned agreements require a vote of the shareholders of NetEase, Guangzhou NetEase or Guangyitong Advertising, as applicable, both of them will vote in their capacity as direct or indirect shareholders of these companies to act based upon the instructions of our board. The term of this agreement is 20 years from June 6, 2000, and this agreement was amended and novated on May 1, 2014 in connection with the equity transfer to Mr. Hui described above.</w:t>
      </w:r>
    </w:p>
    <w:p>
      <w:pPr>
        <w:spacing w:after="0" w:line="167" w:lineRule="exact"/>
        <w:rPr>
          <w:sz w:val="20"/>
          <w:szCs w:val="20"/>
          <w:color w:val="auto"/>
        </w:rPr>
      </w:pPr>
    </w:p>
    <w:p>
      <w:pPr>
        <w:ind w:left="1020" w:right="40" w:hanging="502"/>
        <w:spacing w:after="0" w:line="283" w:lineRule="auto"/>
        <w:tabs>
          <w:tab w:leader="none" w:pos="987"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Loan Agreement and Equity Pledge Agreement</w:t>
      </w:r>
      <w:r>
        <w:rPr>
          <w:rFonts w:ascii="Arial" w:cs="Arial" w:eastAsia="Arial" w:hAnsi="Arial"/>
          <w:sz w:val="16"/>
          <w:szCs w:val="16"/>
          <w:color w:val="auto"/>
        </w:rPr>
        <w:t>. Concurrent with Bo Ding’s transfer of 1.0% of the equity interest in Guangzhou NetEase to</w:t>
      </w:r>
      <w:r>
        <w:rPr>
          <w:rFonts w:ascii="Arial" w:cs="Arial" w:eastAsia="Arial" w:hAnsi="Arial"/>
          <w:sz w:val="16"/>
          <w:szCs w:val="16"/>
          <w:i w:val="1"/>
          <w:iCs w:val="1"/>
          <w:color w:val="auto"/>
        </w:rPr>
        <w:t xml:space="preserve"> </w:t>
      </w:r>
      <w:r>
        <w:rPr>
          <w:rFonts w:ascii="Arial" w:cs="Arial" w:eastAsia="Arial" w:hAnsi="Arial"/>
          <w:sz w:val="16"/>
          <w:szCs w:val="16"/>
          <w:color w:val="auto"/>
        </w:rPr>
        <w:t>Xiaojun Hui as described above, Mr. Hui entered into a Loan Agreement and Equity Pledge Agreement with NetEase Beijing, each dated May 1, 2014. Under the Loan Agreement, NetEase Beijing provided Mr. Hui with an interest-free loan in the principal amount of RMB0.2 million (US$32,000)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ten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w:t>
      </w:r>
    </w:p>
    <w:p>
      <w:pPr>
        <w:spacing w:after="0" w:line="5"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Mr. Hui discharges all his obligations under the above-mentioned agreements.</w:t>
      </w:r>
    </w:p>
    <w:p>
      <w:pPr>
        <w:spacing w:after="0" w:line="211" w:lineRule="exact"/>
        <w:rPr>
          <w:sz w:val="20"/>
          <w:szCs w:val="20"/>
          <w:color w:val="auto"/>
        </w:rPr>
      </w:pPr>
    </w:p>
    <w:p>
      <w:pPr>
        <w:jc w:val="both"/>
        <w:ind w:right="60" w:firstLine="510"/>
        <w:spacing w:after="0" w:line="312" w:lineRule="auto"/>
        <w:rPr>
          <w:sz w:val="20"/>
          <w:szCs w:val="20"/>
          <w:color w:val="auto"/>
        </w:rPr>
      </w:pPr>
      <w:r>
        <w:rPr>
          <w:rFonts w:ascii="Arial" w:cs="Arial" w:eastAsia="Arial" w:hAnsi="Arial"/>
          <w:sz w:val="16"/>
          <w:szCs w:val="16"/>
          <w:color w:val="auto"/>
        </w:rPr>
        <w:t>In April 2009, we established a new affiliated variable interest entity, Hangzhou Leihuo, in China, and we entered into a series of agreements with that entity and its ultimate shareholders which are designed to give us operational control over it. Two of our employees, Zhipeng Hu and Gang Chen, each own 50.0% of the equity interest in Hangzhou Leihuo. Hangzhou Leihuo has a license to provide Internet content and has operated our mobile games since 2014.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421"/>
        <w:spacing w:after="0"/>
        <w:tabs>
          <w:tab w:leader="none" w:pos="94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Loan Agreements and Equity Pledge Agreements between NetEase Hangzhou and the ultimate shareholders of Hangzhou Leihuo</w:t>
      </w:r>
      <w:r>
        <w:rPr>
          <w:rFonts w:ascii="Arial" w:cs="Arial" w:eastAsia="Arial" w:hAnsi="Arial"/>
          <w:sz w:val="17"/>
          <w:szCs w:val="17"/>
          <w:color w:val="auto"/>
        </w:rPr>
        <w:t>. Each of</w:t>
      </w:r>
    </w:p>
    <w:p>
      <w:pPr>
        <w:spacing w:after="0" w:line="35" w:lineRule="exact"/>
        <w:rPr>
          <w:sz w:val="20"/>
          <w:szCs w:val="20"/>
          <w:color w:val="auto"/>
        </w:rPr>
      </w:pPr>
    </w:p>
    <w:p>
      <w:pPr>
        <w:ind w:left="980" w:right="20"/>
        <w:spacing w:after="0" w:line="267" w:lineRule="auto"/>
        <w:rPr>
          <w:sz w:val="20"/>
          <w:szCs w:val="20"/>
          <w:color w:val="auto"/>
        </w:rPr>
      </w:pPr>
      <w:r>
        <w:rPr>
          <w:rFonts w:ascii="Arial" w:cs="Arial" w:eastAsia="Arial" w:hAnsi="Arial"/>
          <w:sz w:val="17"/>
          <w:szCs w:val="17"/>
          <w:color w:val="auto"/>
        </w:rPr>
        <w:t>Mr. Hu and Mr. Chen has entered into a Loan Agreement and an Equity Pledge Agreement with NetEase Hangzhou, each dated April 15, 2009. Under the Loan Agreements, NetEase Hangzhou provided each of Mr. Hu and Mr. Chen with an interest-free loan in the principal amount of RMB5.0 million (US$0.8 million), which funds were used by each of Mr. Hu and Mr. Chen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twenty years from the date of the agreement and can be extended upon the mutual consent of both parties. Under the Equity Pledge Agreements, each of Mr. Hu and Mr. Chen pledges his 50.0% equity interest in Hangzhou Leihuo to NetEase Hangzhou to secure his respective obligations under the Loan Agreement as well as the Exclusive Purchase Option Agreement, the Proxy Agreement and the Operating Agreement. Each of Mr. Hu and Mr. Chen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87" w:lineRule="exact"/>
        <w:rPr>
          <w:sz w:val="20"/>
          <w:szCs w:val="20"/>
          <w:color w:val="auto"/>
        </w:rPr>
      </w:pPr>
    </w:p>
    <w:p>
      <w:pPr>
        <w:ind w:left="980" w:hanging="461"/>
        <w:spacing w:after="0" w:line="271" w:lineRule="auto"/>
        <w:tabs>
          <w:tab w:leader="none" w:pos="941"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Exclusive Purchase Option Agreements among NetEase Hangzhou, Hangzhou Leihuo and the ultimate shareholders of Hangzhou Leihuo. </w:t>
      </w:r>
      <w:r>
        <w:rPr>
          <w:rFonts w:ascii="Arial" w:cs="Arial" w:eastAsia="Arial" w:hAnsi="Arial"/>
          <w:sz w:val="17"/>
          <w:szCs w:val="17"/>
          <w:color w:val="auto"/>
        </w:rPr>
        <w:t>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Exclusive Purchase Option Agreements, each of Mr. Hu and Mr. Chen has granted NetEase Hangzhou an option to purchase all or a portion of his equity interest in Hangzhou Leihuo at a price equal to the original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agrees not to transfer, mortgage or permit any security interest to be created on any equity interest in or assets of Hangzhou Leihuo without the prior written consent of NetEase Hangzhou. The term of each Exclusive Purchase Option Agreement is twenty years from April 15, 2009 and can be extended with the written consent of NetEase Hangzhou.</w:t>
      </w:r>
    </w:p>
    <w:p>
      <w:pPr>
        <w:spacing w:after="0" w:line="178" w:lineRule="exact"/>
        <w:rPr>
          <w:rFonts w:ascii="Arial" w:cs="Arial" w:eastAsia="Arial" w:hAnsi="Arial"/>
          <w:sz w:val="17"/>
          <w:szCs w:val="17"/>
          <w:color w:val="auto"/>
        </w:rPr>
      </w:pPr>
    </w:p>
    <w:p>
      <w:pPr>
        <w:ind w:left="980" w:right="80" w:hanging="486"/>
        <w:spacing w:after="0" w:line="259" w:lineRule="auto"/>
        <w:tabs>
          <w:tab w:leader="none" w:pos="9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Proxy Agreements between NetEase Hangzhou and the ultimate shareholders of Hangzhou Leihuo. </w:t>
      </w:r>
      <w:r>
        <w:rPr>
          <w:rFonts w:ascii="Arial" w:cs="Arial" w:eastAsia="Arial" w:hAnsi="Arial"/>
          <w:sz w:val="18"/>
          <w:szCs w:val="18"/>
          <w:color w:val="auto"/>
        </w:rPr>
        <w:t>Each of Mr. Hu and Mr. Chen has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 Proxy Agreement to irrevocably entrust a person designated by NetEase Hangzhou to represent him to exercise all the voting rights and other shareholders’ rights to which he is entitled as a shareholder of Hangzhou Leihuo. The term of each Proxy Agreement is twenty years from April 15, 2009 and may be extended with the mutual agreement of both parties.</w:t>
      </w:r>
    </w:p>
    <w:p>
      <w:pPr>
        <w:spacing w:after="0" w:line="186" w:lineRule="exact"/>
        <w:rPr>
          <w:rFonts w:ascii="Arial" w:cs="Arial" w:eastAsia="Arial" w:hAnsi="Arial"/>
          <w:sz w:val="18"/>
          <w:szCs w:val="18"/>
          <w:color w:val="auto"/>
        </w:rPr>
      </w:pPr>
    </w:p>
    <w:p>
      <w:pPr>
        <w:ind w:left="980" w:right="20" w:hanging="486"/>
        <w:spacing w:after="0" w:line="290" w:lineRule="auto"/>
        <w:tabs>
          <w:tab w:leader="none" w:pos="944"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Hangzhou, Hangzhou Leihuo and the ultimate shareholders of Hangzhou Leihuo.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April 15, 2009 and can be extended with the written consent of NetEase Hangzhou.</w:t>
      </w:r>
    </w:p>
    <w:p>
      <w:pPr>
        <w:spacing w:after="0" w:line="166" w:lineRule="exact"/>
        <w:rPr>
          <w:rFonts w:ascii="Arial" w:cs="Arial" w:eastAsia="Arial" w:hAnsi="Arial"/>
          <w:sz w:val="16"/>
          <w:szCs w:val="16"/>
          <w:color w:val="auto"/>
        </w:rPr>
      </w:pPr>
    </w:p>
    <w:p>
      <w:pPr>
        <w:ind w:left="980" w:right="80" w:hanging="486"/>
        <w:spacing w:after="0" w:line="277" w:lineRule="auto"/>
        <w:tabs>
          <w:tab w:leader="none" w:pos="94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Cooperation Agreement between NetEase Hangzhou and Hangzhou Leihuo. </w:t>
      </w:r>
      <w:r>
        <w:rPr>
          <w:rFonts w:ascii="Arial" w:cs="Arial" w:eastAsia="Arial" w:hAnsi="Arial"/>
          <w:sz w:val="18"/>
          <w:szCs w:val="18"/>
          <w:color w:val="auto"/>
        </w:rPr>
        <w:t>Under this Cooperation Agreement, NetEase Hangzhou has agreed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the following services:</w:t>
      </w:r>
    </w:p>
    <w:p>
      <w:pPr>
        <w:spacing w:after="0" w:line="170" w:lineRule="exact"/>
        <w:rPr>
          <w:rFonts w:ascii="Arial" w:cs="Arial" w:eastAsia="Arial" w:hAnsi="Arial"/>
          <w:sz w:val="18"/>
          <w:szCs w:val="18"/>
          <w:color w:val="auto"/>
        </w:rPr>
      </w:pPr>
    </w:p>
    <w:p>
      <w:pPr>
        <w:ind w:left="2600" w:right="100" w:hanging="566"/>
        <w:spacing w:after="0" w:line="277" w:lineRule="auto"/>
        <w:tabs>
          <w:tab w:leader="none" w:pos="2569"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development of computer software (including but not limited to online games) and technical support and maintenance for computer software operation;</w:t>
      </w:r>
    </w:p>
    <w:p>
      <w:pPr>
        <w:spacing w:after="0" w:line="170" w:lineRule="exact"/>
        <w:rPr>
          <w:rFonts w:ascii="Arial" w:cs="Arial" w:eastAsia="Arial" w:hAnsi="Arial"/>
          <w:sz w:val="18"/>
          <w:szCs w:val="18"/>
          <w:color w:val="auto"/>
        </w:rPr>
      </w:pPr>
    </w:p>
    <w:p>
      <w:pPr>
        <w:ind w:left="2560" w:hanging="526"/>
        <w:spacing w:after="0"/>
        <w:tabs>
          <w:tab w:leader="none" w:pos="25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provision of broadband internet access and other operational support; and</w:t>
      </w:r>
    </w:p>
    <w:p>
      <w:pPr>
        <w:spacing w:after="0" w:line="225" w:lineRule="exact"/>
        <w:rPr>
          <w:rFonts w:ascii="Arial" w:cs="Arial" w:eastAsia="Arial" w:hAnsi="Arial"/>
          <w:sz w:val="18"/>
          <w:szCs w:val="18"/>
          <w:color w:val="auto"/>
        </w:rPr>
      </w:pPr>
    </w:p>
    <w:p>
      <w:pPr>
        <w:ind w:left="2600" w:right="140" w:hanging="566"/>
        <w:spacing w:after="0" w:line="277" w:lineRule="auto"/>
        <w:tabs>
          <w:tab w:leader="none" w:pos="2569" w:val="left"/>
        </w:tabs>
        <w:numPr>
          <w:ilvl w:val="2"/>
          <w:numId w:val="63"/>
        </w:numPr>
        <w:rPr>
          <w:rFonts w:ascii="Arial" w:cs="Arial" w:eastAsia="Arial" w:hAnsi="Arial"/>
          <w:sz w:val="18"/>
          <w:szCs w:val="18"/>
          <w:color w:val="auto"/>
        </w:rPr>
      </w:pPr>
      <w:r>
        <w:rPr>
          <w:rFonts w:ascii="Arial" w:cs="Arial" w:eastAsia="Arial" w:hAnsi="Arial"/>
          <w:sz w:val="18"/>
          <w:szCs w:val="18"/>
          <w:color w:val="auto"/>
        </w:rPr>
        <w:t>jointly with Hangzhou Leihuo, the provision of value-added telecommunication and other services to users of the Leihuo website and relevant products.</w:t>
      </w:r>
    </w:p>
    <w:p>
      <w:pPr>
        <w:sectPr>
          <w:pgSz w:w="11900" w:h="16838" w:orient="portrait"/>
          <w:cols w:equalWidth="0" w:num="1">
            <w:col w:w="11420"/>
          </w:cols>
          <w:pgMar w:left="240" w:top="125" w:right="239" w:bottom="0" w:gutter="0" w:footer="0" w:header="0"/>
        </w:sectPr>
      </w:pPr>
    </w:p>
    <w:bookmarkStart w:id="63" w:name="page64"/>
    <w:bookmarkEnd w:id="63"/>
    <w:p>
      <w:pPr>
        <w:spacing w:after="0" w:line="36"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starting in</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August 2008, there are certain contractual arrangements among Shanghai EaseNet, the joint venture established between Blizzard and us, and us. As a result of these arrangements, Shanghai EaseNet is a controlled variable interest entity,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2011, 2012 and 2013. 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 — Our Corporate Structure.”</w:t>
      </w:r>
    </w:p>
    <w:p>
      <w:pPr>
        <w:spacing w:after="0" w:line="18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October 2014, Mr. Ding and two of our directors, Mr. Denny Lee and Mr. Michael Tong, subscribed for, respectively, 2,673,796, 29,500 and 29,500 newly issued Series A preferred shares of Lede Inc. for cash consideration of approximately US$10.0 million, US$0.1 million and US$0.1 million, respectively. Lede Inc. granted customary shelf and piggy-back registration rights for these shares, which become exercisable 180 days after certain conditions are met.</w:t>
      </w:r>
    </w:p>
    <w:p>
      <w:pPr>
        <w:spacing w:after="0" w:line="183"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18. “Financial Statements” for our audited consolidated financial statements filed as part of this annual report.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A.7</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material legal proceedings pending or, to our knowledge, threatened against us.</w:t>
      </w:r>
    </w:p>
    <w:p>
      <w:pPr>
        <w:spacing w:after="0" w:line="225"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A.8</w:t>
      </w:r>
      <w:r>
        <w:rPr>
          <w:sz w:val="20"/>
          <w:szCs w:val="20"/>
          <w:color w:val="auto"/>
        </w:rPr>
        <w:tab/>
      </w: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In February 2014, our board of directors approved an annual cash dividend with respect to fiscal year 2013 in the amount of US$1.41 per ADS, amounting to an aggregate of RMB1,109.7 million (US$183.3 million). Such dividend was payable to shareholders of record as of February 26, 2014 and was paid on March 7, 2014.</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May 2014, our board of directors approved a quarterly dividend policy commencing in 2014. Under the new policy, quarterly dividends will be set at an amount equivalent to approximately 25%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US$0.34, US$0.37, US$0.36 and US$0.39 per ADS for the first, second, third and fourth quarters of 2014, respectively.</w:t>
      </w:r>
    </w:p>
    <w:p>
      <w:pPr>
        <w:spacing w:after="0" w:line="188" w:lineRule="exact"/>
        <w:rPr>
          <w:sz w:val="20"/>
          <w:szCs w:val="20"/>
          <w:color w:val="auto"/>
        </w:rPr>
      </w:pPr>
    </w:p>
    <w:p>
      <w:pPr>
        <w:jc w:val="both"/>
        <w:ind w:right="100" w:firstLine="510"/>
        <w:spacing w:after="0" w:line="279" w:lineRule="auto"/>
        <w:rPr>
          <w:sz w:val="20"/>
          <w:szCs w:val="20"/>
          <w:color w:val="auto"/>
        </w:rPr>
      </w:pPr>
      <w:r>
        <w:rPr>
          <w:rFonts w:ascii="Arial" w:cs="Arial" w:eastAsia="Arial" w:hAnsi="Arial"/>
          <w:sz w:val="17"/>
          <w:szCs w:val="17"/>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w:t>
      </w:r>
    </w:p>
    <w:p>
      <w:pPr>
        <w:spacing w:after="0" w:line="171" w:lineRule="exact"/>
        <w:rPr>
          <w:sz w:val="20"/>
          <w:szCs w:val="20"/>
          <w:color w:val="auto"/>
        </w:rPr>
      </w:pPr>
    </w:p>
    <w:p>
      <w:pPr>
        <w:jc w:val="both"/>
        <w:ind w:right="540" w:firstLine="486"/>
        <w:spacing w:after="0" w:line="259" w:lineRule="auto"/>
        <w:rPr>
          <w:sz w:val="20"/>
          <w:szCs w:val="20"/>
          <w:color w:val="auto"/>
        </w:rPr>
      </w:pPr>
      <w:r>
        <w:rPr>
          <w:rFonts w:ascii="Arial" w:cs="Arial" w:eastAsia="Arial" w:hAnsi="Arial"/>
          <w:sz w:val="18"/>
          <w:szCs w:val="18"/>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experienced any significant changes since the date of our audited consolidated financial statements included in this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except for Item 9.A.4. and Item 9.C.</w:t>
      </w:r>
    </w:p>
    <w:p>
      <w:pPr>
        <w:sectPr>
          <w:pgSz w:w="11900" w:h="16874" w:orient="portrait"/>
          <w:cols w:equalWidth="0" w:num="1">
            <w:col w:w="11400"/>
          </w:cols>
          <w:pgMar w:left="240" w:top="125" w:right="259" w:bottom="0" w:gutter="0" w:footer="0" w:header="0"/>
        </w:sectPr>
      </w:pPr>
    </w:p>
    <w:bookmarkStart w:id="64" w:name="page65"/>
    <w:bookmarkEnd w:id="64"/>
    <w:p>
      <w:pPr>
        <w:ind w:right="260" w:firstLine="510"/>
        <w:spacing w:after="0" w:line="277" w:lineRule="auto"/>
        <w:rPr>
          <w:sz w:val="20"/>
          <w:szCs w:val="20"/>
          <w:color w:val="auto"/>
        </w:rPr>
      </w:pPr>
      <w:r>
        <w:rPr>
          <w:rFonts w:ascii="Arial" w:cs="Arial" w:eastAsia="Arial" w:hAnsi="Arial"/>
          <w:sz w:val="18"/>
          <w:szCs w:val="18"/>
          <w:color w:val="auto"/>
        </w:rPr>
        <w:t>Our ADSs have been listed on the NASDAQ Global Select Market (formerly the NASDAQ National Market) since June 30, 2000. Our ADSs trade under the symbol “NTES.”</w:t>
      </w:r>
    </w:p>
    <w:p>
      <w:pPr>
        <w:spacing w:after="0" w:line="170" w:lineRule="exact"/>
        <w:rPr>
          <w:sz w:val="20"/>
          <w:szCs w:val="20"/>
          <w:color w:val="auto"/>
        </w:rPr>
      </w:pPr>
    </w:p>
    <w:p>
      <w:pPr>
        <w:ind w:right="640" w:firstLine="510"/>
        <w:spacing w:after="0" w:line="342" w:lineRule="auto"/>
        <w:rPr>
          <w:sz w:val="20"/>
          <w:szCs w:val="20"/>
          <w:color w:val="auto"/>
        </w:rPr>
      </w:pPr>
      <w:r>
        <w:rPr>
          <w:rFonts w:ascii="Arial" w:cs="Arial" w:eastAsia="Arial" w:hAnsi="Arial"/>
          <w:sz w:val="16"/>
          <w:szCs w:val="16"/>
          <w:color w:val="auto"/>
        </w:rPr>
        <w:t>The following table provides the high and low prices for our ADSs on the NASDAQ Global Select Market for (1) each of the most recent five financial years, (2) each quarter in the two most recent financial years and the most recent quarter and (3) each of the most recent six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Sales Price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2"/>
                <w:szCs w:val="12"/>
                <w:color w:val="auto"/>
              </w:rPr>
            </w:pPr>
          </w:p>
        </w:tc>
      </w:tr>
      <w:tr>
        <w:trPr>
          <w:trHeight w:val="196"/>
        </w:trPr>
        <w:tc>
          <w:tcPr>
            <w:tcW w:w="340" w:type="dxa"/>
            <w:vAlign w:val="bottom"/>
          </w:tcPr>
          <w:p>
            <w:pPr>
              <w:spacing w:after="0"/>
              <w:rPr>
                <w:sz w:val="17"/>
                <w:szCs w:val="17"/>
                <w:color w:val="auto"/>
              </w:rPr>
            </w:pPr>
          </w:p>
        </w:tc>
        <w:tc>
          <w:tcPr>
            <w:tcW w:w="7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 highs and lows</w:t>
            </w: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2010</w:t>
            </w:r>
          </w:p>
        </w:tc>
        <w:tc>
          <w:tcPr>
            <w:tcW w:w="69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43.66</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26.16</w:t>
            </w:r>
          </w:p>
        </w:tc>
      </w:tr>
      <w:tr>
        <w:trPr>
          <w:trHeight w:val="216"/>
        </w:trPr>
        <w:tc>
          <w:tcPr>
            <w:tcW w:w="34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9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35.74</w:t>
            </w:r>
          </w:p>
        </w:tc>
      </w:tr>
      <w:tr>
        <w:trPr>
          <w:trHeight w:val="216"/>
        </w:trPr>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2012</w:t>
            </w:r>
          </w:p>
        </w:tc>
        <w:tc>
          <w:tcPr>
            <w:tcW w:w="69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63.81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37.15</w:t>
            </w:r>
          </w:p>
        </w:tc>
      </w:tr>
      <w:tr>
        <w:trPr>
          <w:trHeight w:val="216"/>
        </w:trPr>
        <w:tc>
          <w:tcPr>
            <w:tcW w:w="34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9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42.41</w:t>
            </w:r>
          </w:p>
        </w:tc>
      </w:tr>
      <w:tr>
        <w:trPr>
          <w:trHeight w:val="216"/>
        </w:trPr>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2014</w:t>
            </w:r>
          </w:p>
        </w:tc>
        <w:tc>
          <w:tcPr>
            <w:tcW w:w="69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105.82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63.35</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Quarterly highs and lows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42.41</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Second Quarter 2013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63.94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51.75</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60.40</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Fourth Quarter 2013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78.60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64.08</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63.35</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Second Quarter 2014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78.36</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64.45</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75.74</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Fourth Quarter 2014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105.82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82.41</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94.83</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Monthly highs and lows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October 2014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94.72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82.41</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91.80</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December 2014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104.84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96.56</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98.81</w:t>
            </w:r>
          </w:p>
        </w:tc>
      </w:tr>
      <w:tr>
        <w:trPr>
          <w:trHeight w:val="216"/>
        </w:trPr>
        <w:tc>
          <w:tcPr>
            <w:tcW w:w="34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116.53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100.04</w:t>
            </w:r>
          </w:p>
        </w:tc>
      </w:tr>
      <w:tr>
        <w:trPr>
          <w:trHeight w:val="216"/>
        </w:trPr>
        <w:tc>
          <w:tcPr>
            <w:tcW w:w="34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94.83</w:t>
            </w:r>
          </w:p>
        </w:tc>
      </w:tr>
      <w:tr>
        <w:trPr>
          <w:trHeight w:val="230"/>
        </w:trPr>
        <w:tc>
          <w:tcPr>
            <w:tcW w:w="34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April 2015 (through April 10, 2015)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120.15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107.06</w:t>
            </w: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6960" w:type="dxa"/>
            <w:vAlign w:val="bottom"/>
          </w:tcPr>
          <w:p>
            <w:pPr>
              <w:ind w:left="140"/>
              <w:spacing w:after="0"/>
              <w:rPr>
                <w:sz w:val="20"/>
                <w:szCs w:val="20"/>
                <w:color w:val="auto"/>
              </w:rPr>
            </w:pPr>
            <w:r>
              <w:rPr>
                <w:rFonts w:ascii="Arial" w:cs="Arial" w:eastAsia="Arial" w:hAnsi="Arial"/>
                <w:sz w:val="18"/>
                <w:szCs w:val="18"/>
                <w:b w:val="1"/>
                <w:bCs w:val="1"/>
                <w:color w:val="auto"/>
              </w:rPr>
              <w:t>Additional Information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a description of the terms and provisions of our restated memorandum and articles of association.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were incorporated in the Cayman Islands on July 6, 1999 and operate under the Cayman Islands Companies Law (2013 Revision), as revised and amended from time to time, or the Companies Law. Our corporate objectives and purpose are unrestricted.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Directors</w:t>
      </w:r>
    </w:p>
    <w:p>
      <w:pPr>
        <w:spacing w:after="0" w:line="225"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73" w:lineRule="exact"/>
        <w:rPr>
          <w:sz w:val="20"/>
          <w:szCs w:val="20"/>
          <w:color w:val="auto"/>
        </w:rPr>
      </w:pPr>
    </w:p>
    <w:p>
      <w:pPr>
        <w:ind w:right="60" w:firstLine="504"/>
        <w:spacing w:after="0" w:line="264" w:lineRule="auto"/>
        <w:rPr>
          <w:sz w:val="20"/>
          <w:szCs w:val="20"/>
          <w:color w:val="auto"/>
        </w:rPr>
      </w:pPr>
      <w:r>
        <w:rPr>
          <w:rFonts w:ascii="Arial" w:cs="Arial" w:eastAsia="Arial" w:hAnsi="Arial"/>
          <w:sz w:val="18"/>
          <w:szCs w:val="18"/>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8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There are no membership qualifications for directors. Further, there are no age limitations or retirement requirements and no share ownership qualifications for directors unless so fixed by shareholders in a general meeting.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Rights, Preferences and Restrictions of Ordinary Shares</w:t>
      </w:r>
    </w:p>
    <w:p>
      <w:pPr>
        <w:spacing w:after="0" w:line="225"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shares are fully paid and non-assessable. Certificates representing the shares are issued in registered form.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who are nonresidents of the Cayman Islands may freely hold and vote their shares.</w:t>
      </w:r>
    </w:p>
    <w:p>
      <w:pPr>
        <w:sectPr>
          <w:pgSz w:w="11900" w:h="16838" w:orient="portrait"/>
          <w:cols w:equalWidth="0" w:num="1">
            <w:col w:w="11400"/>
          </w:cols>
          <w:pgMar w:left="240" w:top="341" w:right="259" w:bottom="0" w:gutter="0" w:footer="0" w:header="0"/>
        </w:sectPr>
      </w:pPr>
    </w:p>
    <w:bookmarkStart w:id="65" w:name="page66"/>
    <w:bookmarkEnd w:id="65"/>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shares are entitled to such dividends as may be declared by our board of directors.</w:t>
      </w:r>
    </w:p>
    <w:p>
      <w:pPr>
        <w:spacing w:after="0" w:line="225"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share is entitled to one vote on all matters upon which the shares are entitled to vote, including the election of directors. Voting at</w:t>
      </w:r>
      <w:r>
        <w:rPr>
          <w:rFonts w:ascii="Arial" w:cs="Arial" w:eastAsia="Arial" w:hAnsi="Arial"/>
          <w:sz w:val="17"/>
          <w:szCs w:val="17"/>
          <w:i w:val="1"/>
          <w:iCs w:val="1"/>
          <w:color w:val="auto"/>
        </w:rPr>
        <w:t xml:space="preserve"> </w:t>
      </w:r>
      <w:r>
        <w:rPr>
          <w:rFonts w:ascii="Arial" w:cs="Arial" w:eastAsia="Arial" w:hAnsi="Arial"/>
          <w:sz w:val="17"/>
          <w:szCs w:val="17"/>
          <w:color w:val="auto"/>
        </w:rPr>
        <w:t>any meeting of shareholders is by show of hands unless a poll is demanded. A poll may be demanded by the Chairman or any other shareholder present in person or by proxy. A quorum required for a meeting of shareholders consists of at least two shareholders present or by proxy.</w:t>
      </w:r>
    </w:p>
    <w:p>
      <w:pPr>
        <w:spacing w:after="0" w:line="16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name. Holders of the shares may by ordinary resolution, among other things, elect directors, appoint auditors, and increase our share capital.</w:t>
      </w:r>
    </w:p>
    <w:p>
      <w:pPr>
        <w:spacing w:after="0" w:line="187" w:lineRule="exact"/>
        <w:rPr>
          <w:sz w:val="20"/>
          <w:szCs w:val="20"/>
          <w:color w:val="auto"/>
        </w:rPr>
      </w:pPr>
    </w:p>
    <w:p>
      <w:pPr>
        <w:ind w:right="60" w:firstLine="504"/>
        <w:spacing w:after="0" w:line="286"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On a return of capital on winding up or otherwise (other than on conversion, redemption or purchase of shares) assets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66"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or times of payment. The shares that have been called upon and remain unpaid are subject to forfeiture.</w:t>
      </w:r>
    </w:p>
    <w:p>
      <w:pPr>
        <w:spacing w:after="0" w:line="181" w:lineRule="exact"/>
        <w:rPr>
          <w:sz w:val="20"/>
          <w:szCs w:val="20"/>
          <w:color w:val="auto"/>
        </w:rPr>
      </w:pPr>
    </w:p>
    <w:p>
      <w:pPr>
        <w:ind w:right="160" w:firstLine="510"/>
        <w:spacing w:after="0" w:line="264" w:lineRule="auto"/>
        <w:rPr>
          <w:sz w:val="20"/>
          <w:szCs w:val="20"/>
          <w:color w:val="auto"/>
        </w:rPr>
      </w:pPr>
      <w:r>
        <w:rPr>
          <w:rFonts w:ascii="Arial" w:cs="Arial" w:eastAsia="Arial" w:hAnsi="Arial"/>
          <w:sz w:val="18"/>
          <w:szCs w:val="18"/>
          <w:i w:val="1"/>
          <w:iCs w:val="1"/>
          <w:color w:val="auto"/>
        </w:rPr>
        <w:t>Redemption of Shares</w:t>
      </w:r>
      <w:r>
        <w:rPr>
          <w:rFonts w:ascii="Arial" w:cs="Arial" w:eastAsia="Arial" w:hAnsi="Arial"/>
          <w:sz w:val="18"/>
          <w:szCs w:val="18"/>
          <w:color w:val="auto"/>
        </w:rPr>
        <w:t>. Subject to the provisions of the Companies Law and the memorandum and articles of association, we may issue shares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that they are, or at our option or at the option of the holders are, subject to redemption on such terms and in such manner as we may determine by special resolution.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Variations of Rights of Shares</w:t>
      </w:r>
    </w:p>
    <w:p>
      <w:pPr>
        <w:spacing w:after="0" w:line="225"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Meetings of Shareholders</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directors may whenever they think fit, and they shall on the requisition of our shareholders holding at the date of the deposit of the requisition not less than one-tenth of our paid-up capital as at the date of the deposit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limitations on the right to own our shares.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Limitations on Transfer of Shares</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of Shareholder Ownership</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governing the ownership threshold above which shareholder ownership must be disclosed.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Capital</w:t>
      </w:r>
    </w:p>
    <w:p>
      <w:pPr>
        <w:spacing w:after="0" w:line="225" w:lineRule="exact"/>
        <w:rPr>
          <w:sz w:val="20"/>
          <w:szCs w:val="20"/>
          <w:color w:val="auto"/>
        </w:rPr>
      </w:pPr>
    </w:p>
    <w:p>
      <w:pPr>
        <w:ind w:right="260" w:firstLine="506"/>
        <w:spacing w:after="0" w:line="264"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81" w:lineRule="exact"/>
        <w:rPr>
          <w:sz w:val="20"/>
          <w:szCs w:val="20"/>
          <w:color w:val="auto"/>
        </w:rPr>
      </w:pPr>
    </w:p>
    <w:p>
      <w:pPr>
        <w:ind w:left="1020" w:hanging="502"/>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25" w:lineRule="exact"/>
        <w:rPr>
          <w:rFonts w:ascii="Arial" w:cs="Arial" w:eastAsia="Arial" w:hAnsi="Arial"/>
          <w:sz w:val="18"/>
          <w:szCs w:val="18"/>
          <w:color w:val="auto"/>
        </w:rPr>
      </w:pPr>
    </w:p>
    <w:p>
      <w:pPr>
        <w:ind w:left="1020" w:right="220" w:hanging="502"/>
        <w:spacing w:after="0" w:line="277" w:lineRule="auto"/>
        <w:tabs>
          <w:tab w:leader="none" w:pos="10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restated memorandum of association or into shares without nominal or par value; and</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Differences in Corporate Law</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Companies Law is modeled after that of the United Kingdom but does not follow recent United Kingdom statutory enactments and differs from laws applicable to United States corporations and their shareholders. Set forth below is a summary of the significant differences between the provisions of the</w:t>
      </w:r>
    </w:p>
    <w:p>
      <w:pPr>
        <w:sectPr>
          <w:pgSz w:w="11900" w:h="16908" w:orient="portrait"/>
          <w:cols w:equalWidth="0" w:num="1">
            <w:col w:w="11380"/>
          </w:cols>
          <w:pgMar w:left="240" w:top="125" w:right="279" w:bottom="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Companies Law applicable to us and the laws applicable to companies incorporated in the United States and their shareholders.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subject to certain exceptions. Court approval is not required for a merger or consolidation which is effected in compliance with these statutory procedures.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78" w:lineRule="exact"/>
        <w:rPr>
          <w:sz w:val="20"/>
          <w:szCs w:val="20"/>
          <w:color w:val="auto"/>
        </w:rPr>
      </w:pPr>
    </w:p>
    <w:p>
      <w:pPr>
        <w:ind w:left="1000" w:hanging="48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complied with;</w:t>
      </w:r>
    </w:p>
    <w:p>
      <w:pPr>
        <w:spacing w:after="0" w:line="225" w:lineRule="exact"/>
        <w:rPr>
          <w:rFonts w:ascii="Arial" w:cs="Arial" w:eastAsia="Arial" w:hAnsi="Arial"/>
          <w:sz w:val="18"/>
          <w:szCs w:val="18"/>
          <w:color w:val="auto"/>
        </w:rPr>
      </w:pPr>
    </w:p>
    <w:p>
      <w:pPr>
        <w:ind w:left="1020" w:right="180" w:hanging="506"/>
        <w:spacing w:after="0" w:line="277" w:lineRule="auto"/>
        <w:tabs>
          <w:tab w:leader="none" w:pos="9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1000" w:hanging="482"/>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48" w:lineRule="exact"/>
        <w:rPr>
          <w:rFonts w:ascii="Arial" w:cs="Arial" w:eastAsia="Arial" w:hAnsi="Arial"/>
          <w:sz w:val="16"/>
          <w:szCs w:val="16"/>
          <w:color w:val="auto"/>
        </w:rPr>
      </w:pPr>
    </w:p>
    <w:p>
      <w:pPr>
        <w:ind w:left="1000" w:hanging="482"/>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When a take-over offer is made and accepted by holders of 90% of the affected shares within four months, the offeror may, within a two month period after expiry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66" w:lineRule="exact"/>
        <w:rPr>
          <w:sz w:val="20"/>
          <w:szCs w:val="20"/>
          <w:color w:val="auto"/>
        </w:rPr>
      </w:pPr>
    </w:p>
    <w:p>
      <w:pPr>
        <w:ind w:right="200" w:firstLine="510"/>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and as a general rule a derivative action may not be brought by a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88" w:lineRule="exact"/>
        <w:rPr>
          <w:sz w:val="20"/>
          <w:szCs w:val="20"/>
          <w:color w:val="auto"/>
        </w:rPr>
      </w:pPr>
    </w:p>
    <w:p>
      <w:pPr>
        <w:ind w:right="100" w:firstLine="504"/>
        <w:spacing w:after="0" w:line="25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 Cayman Islands law does not (other than as set forth hereafter) limit the extent to which a company’s organizational documents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88" w:lineRule="exact"/>
        <w:rPr>
          <w:sz w:val="20"/>
          <w:szCs w:val="20"/>
          <w:color w:val="auto"/>
        </w:rPr>
      </w:pPr>
    </w:p>
    <w:p>
      <w:pPr>
        <w:jc w:val="both"/>
        <w:ind w:right="600" w:firstLine="510"/>
        <w:spacing w:after="0" w:line="264"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77"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66"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currency exchange in the PRC is primarily governed by the Foreign Exchange Administration Rules issued by the State Council on January 29,</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1996 and effective as of April 1, 1996 (and amended on January 14, 1997 and August 1, 2008) and the Regulations of Settlement, Sale and Payment of Foreign Exchange which came into effect on July 1, 1996.</w:t>
      </w:r>
    </w:p>
    <w:p>
      <w:pPr>
        <w:sectPr>
          <w:pgSz w:w="11900" w:h="16838" w:orient="portrait"/>
          <w:cols w:equalWidth="0" w:num="1">
            <w:col w:w="11420"/>
          </w:cols>
          <w:pgMar w:left="240" w:top="125" w:right="239" w:bottom="123"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w:t>
      </w:r>
    </w:p>
    <w:p>
      <w:pPr>
        <w:spacing w:after="0" w:line="14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Under the Regulations of Settlement, Sale and Payment of Foreign Exchange, foreign invested enterprises including wholly foreign owned enterprises, may buy, sell or remit foreign currencies only at those banks that are authorized to conduct foreign exchange business after providing such banks with valid commercial supporting documents and, in the case of capital account item transactions, after obtaining approvals from SAFE. Capital investments by foreign invested enterprises outside the PRC are also subject to limitations, which include approvals by the Ministry of Commerce, SAFE and the National Development and Reform Commission.</w:t>
      </w:r>
    </w:p>
    <w:p>
      <w:pPr>
        <w:spacing w:after="0" w:line="188"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On August 29, 2008, SAFE promulgated the Circular on Issues Relating to the Improvement of Business Operation With Respect to the Administration of Foreign Exchange Capital Payment and Settlement of Foreign Invested Enterprises, or Circular 142, which stipulates that the registered capital of an foreign invested enterprises may only be used for the purpose within its approved business scope and shall not be used for equity investment within the PRC. Violations of Circular 142 may result in penalties, including fines as set forth in the Foreign Exchange Administration Rules.</w:t>
      </w:r>
    </w:p>
    <w:p>
      <w:pPr>
        <w:spacing w:after="0" w:line="154"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On July 4, 2014, SAFE promulgated the Circular on Issues Relating to Pilot Reform in Certain Areas With Respect to the Administration of Foreign Exchange Capital Settlement of Foreign Invested Enterprises, which stipulated that in certain pilot areas, such as Zhongguancun national innovation demonstration zone, the foreign exchange capital of a foreign invested enterprise can be settled in banks in accordance with its actual operational requirements.</w:t>
      </w:r>
    </w:p>
    <w:p>
      <w:pPr>
        <w:spacing w:after="0" w:line="18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78" w:lineRule="exact"/>
        <w:rPr>
          <w:sz w:val="20"/>
          <w:szCs w:val="20"/>
          <w:color w:val="auto"/>
        </w:rPr>
      </w:pPr>
    </w:p>
    <w:p>
      <w:pPr>
        <w:ind w:right="100" w:firstLine="504"/>
        <w:spacing w:after="0" w:line="259" w:lineRule="auto"/>
        <w:rPr>
          <w:sz w:val="20"/>
          <w:szCs w:val="20"/>
          <w:color w:val="auto"/>
        </w:rPr>
      </w:pPr>
      <w:r>
        <w:rPr>
          <w:rFonts w:ascii="Arial" w:cs="Arial" w:eastAsia="Arial" w:hAnsi="Arial"/>
          <w:sz w:val="18"/>
          <w:szCs w:val="18"/>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required SAFE registrations.</w:t>
      </w:r>
    </w:p>
    <w:p>
      <w:pPr>
        <w:spacing w:after="0" w:line="187" w:lineRule="exact"/>
        <w:rPr>
          <w:sz w:val="20"/>
          <w:szCs w:val="20"/>
          <w:color w:val="auto"/>
        </w:rPr>
      </w:pPr>
    </w:p>
    <w:p>
      <w:pPr>
        <w:ind w:right="60" w:firstLine="504"/>
        <w:spacing w:after="0" w:line="293" w:lineRule="auto"/>
        <w:rPr>
          <w:sz w:val="20"/>
          <w:szCs w:val="20"/>
          <w:color w:val="auto"/>
        </w:rPr>
      </w:pPr>
      <w:r>
        <w:rPr>
          <w:rFonts w:ascii="Arial" w:cs="Arial" w:eastAsia="Arial" w:hAnsi="Arial"/>
          <w:sz w:val="16"/>
          <w:szCs w:val="16"/>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6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For more information about foreign exchange control, see Item 3.D. “Risk Factors—Risks Related to Our Company—Our corporate structure may restrict our ability to receive dividends, loans or advances from, and transfer funds to, our PRC subsidiaries and variable interest entities,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w:t>
      </w:r>
    </w:p>
    <w:p>
      <w:pPr>
        <w:spacing w:after="0" w:line="16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20" w:firstLine="504"/>
        <w:spacing w:after="0" w:line="312" w:lineRule="auto"/>
        <w:rPr>
          <w:sz w:val="20"/>
          <w:szCs w:val="20"/>
          <w:color w:val="auto"/>
        </w:rPr>
      </w:pPr>
      <w:r>
        <w:rPr>
          <w:rFonts w:ascii="Arial" w:cs="Arial" w:eastAsia="Arial" w:hAnsi="Arial"/>
          <w:sz w:val="16"/>
          <w:szCs w:val="16"/>
          <w:color w:val="auto"/>
        </w:rPr>
        <w:t>The following summary of the material Cayman Islands and United States federal income tax consequences relevant to the purchase, ownership or sale of our ADSs is based upon laws and relevant interpretations thereof in effect as of the date of this annual report, all of which are subject to change. To the extent that the discussion relates to matters of Cayman Islands tax law, it represents the opinion of Maples and Calder, our Cayman Islands counsel.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following discussion is a summary of certain United States federal income tax considerations applicable to the ownership and disposition of shares or ADSs by a U.S. Holder (as defined below) who holds such shares or ADSs as capital assets as defined under the Internal Revenue Code of 1986, as amended (the “Code”). This summary does not purport to be a complete analysis of all potential United States federal income tax effects. This summary is based on the Code, United States Treasury regulations promulgated thereunder, Internal Revenue Service (“IRS”) rulings and judicial decisions in effect on the date hereof. All of these are subject to change, possibly with retroactive effect, or different interpretations. Such change could materially and adversely affect the tax consequences described below. No assurance can be given that the IRS would not assert, or that a court would not sustain, a position contrary to any of the tax consequences described below.</w:t>
      </w:r>
    </w:p>
    <w:p>
      <w:pPr>
        <w:sectPr>
          <w:pgSz w:w="11900" w:h="16838" w:orient="portrait"/>
          <w:cols w:equalWidth="0" w:num="1">
            <w:col w:w="11420"/>
          </w:cols>
          <w:pgMar w:left="240" w:top="125" w:right="239" w:bottom="64" w:gutter="0" w:footer="0" w:header="0"/>
        </w:sectPr>
      </w:pPr>
    </w:p>
    <w:bookmarkStart w:id="68" w:name="page69"/>
    <w:bookmarkEnd w:id="68"/>
    <w:p>
      <w:pPr>
        <w:spacing w:after="0" w:line="47"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81" w:lineRule="exact"/>
        <w:rPr>
          <w:sz w:val="20"/>
          <w:szCs w:val="20"/>
          <w:color w:val="auto"/>
        </w:rPr>
      </w:pPr>
    </w:p>
    <w:p>
      <w:pPr>
        <w:ind w:left="1000" w:hanging="486"/>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dealers in stocks, securities or currencies;</w:t>
      </w:r>
    </w:p>
    <w:p>
      <w:pPr>
        <w:spacing w:after="0" w:line="225" w:lineRule="exact"/>
        <w:rPr>
          <w:rFonts w:ascii="Arial" w:cs="Arial" w:eastAsia="Arial" w:hAnsi="Arial"/>
          <w:sz w:val="18"/>
          <w:szCs w:val="18"/>
          <w:color w:val="auto"/>
        </w:rPr>
      </w:pPr>
    </w:p>
    <w:p>
      <w:pPr>
        <w:ind w:left="1000" w:hanging="486"/>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traders that use a mark-to-market accounting method;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who or that are, or may become, subject to the expatriation provisions of the Code;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whose functional currency is not the United States dollar; and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voting power of all classes of our voting stock.</w:t>
      </w:r>
    </w:p>
    <w:p>
      <w:pPr>
        <w:spacing w:after="0" w:line="225" w:lineRule="exact"/>
        <w:rPr>
          <w:sz w:val="20"/>
          <w:szCs w:val="20"/>
          <w:color w:val="auto"/>
        </w:rPr>
      </w:pPr>
    </w:p>
    <w:p>
      <w:pPr>
        <w:jc w:val="both"/>
        <w:ind w:right="520" w:firstLine="510"/>
        <w:spacing w:after="0" w:line="264" w:lineRule="auto"/>
        <w:rPr>
          <w:sz w:val="20"/>
          <w:szCs w:val="20"/>
          <w:color w:val="auto"/>
        </w:rPr>
      </w:pPr>
      <w:r>
        <w:rPr>
          <w:rFonts w:ascii="Arial" w:cs="Arial" w:eastAsia="Arial" w:hAnsi="Arial"/>
          <w:sz w:val="18"/>
          <w:szCs w:val="18"/>
          <w:color w:val="auto"/>
        </w:rPr>
        <w:t>This summary also does not discuss any aspect of state, local or foreign law, or United States federal estate or gift tax law as applicable to U.S. Holders. Prospective purchasers are urged to consult their tax advisors about the United States federal, state and local tax consequences to them of the purchase, ownership and disposition of shares or ADSs.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1" w:lineRule="exact"/>
        <w:rPr>
          <w:sz w:val="20"/>
          <w:szCs w:val="20"/>
          <w:color w:val="auto"/>
        </w:rPr>
      </w:pPr>
    </w:p>
    <w:p>
      <w:pPr>
        <w:ind w:left="1000" w:hanging="482"/>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1020" w:hanging="502"/>
        <w:spacing w:after="0" w:line="277" w:lineRule="auto"/>
        <w:tabs>
          <w:tab w:leader="none" w:pos="9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1000" w:hanging="482"/>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25" w:lineRule="exact"/>
        <w:rPr>
          <w:rFonts w:ascii="Arial" w:cs="Arial" w:eastAsia="Arial" w:hAnsi="Arial"/>
          <w:sz w:val="18"/>
          <w:szCs w:val="18"/>
          <w:color w:val="auto"/>
        </w:rPr>
      </w:pPr>
    </w:p>
    <w:p>
      <w:pPr>
        <w:ind w:left="1020" w:right="100" w:hanging="502"/>
        <w:spacing w:after="0" w:line="264" w:lineRule="auto"/>
        <w:tabs>
          <w:tab w:leader="none" w:pos="9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U.S. person.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312"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tax advisors.</w:t>
      </w:r>
    </w:p>
    <w:p>
      <w:pPr>
        <w:spacing w:after="0" w:line="147" w:lineRule="exact"/>
        <w:rPr>
          <w:sz w:val="20"/>
          <w:szCs w:val="20"/>
          <w:color w:val="auto"/>
        </w:rPr>
      </w:pPr>
    </w:p>
    <w:p>
      <w:pPr>
        <w:ind w:right="40" w:firstLine="506"/>
        <w:spacing w:after="0" w:line="259" w:lineRule="auto"/>
        <w:rPr>
          <w:sz w:val="20"/>
          <w:szCs w:val="20"/>
          <w:color w:val="auto"/>
        </w:rPr>
      </w:pPr>
      <w:r>
        <w:rPr>
          <w:rFonts w:ascii="Arial" w:cs="Arial" w:eastAsia="Arial" w:hAnsi="Arial"/>
          <w:sz w:val="18"/>
          <w:szCs w:val="18"/>
          <w:color w:val="auto"/>
        </w:rPr>
        <w:t>The discussion below is written on the basis that the representations contained in the deposit agreement are true and that the obligations in the deposit agreement and any related agreement will be performed in accordance with the terms. If you hold ADSs, you generally will be treated as the owner of the underlying shares represented by those ADSs for United States federal income tax purposes. Accordingly, deposits or withdrawal of shares for ADSs will not be subject to United States federal income tax.</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TAXATION OF U.S. HOLDERS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Taxation of Dividends and Other Distributions on the Shares or ADSs</w:t>
      </w:r>
    </w:p>
    <w:p>
      <w:pPr>
        <w:spacing w:after="0" w:line="22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distributions paid by our company out of current or accumulated earnings and profits (as determined for United States federal income tax purposes) generally will be taxable to a U.S. Holder as foreign source dividend income,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w:t>
      </w:r>
    </w:p>
    <w:p>
      <w:pPr>
        <w:spacing w:after="0" w:line="192" w:lineRule="exact"/>
        <w:rPr>
          <w:sz w:val="20"/>
          <w:szCs w:val="20"/>
          <w:color w:val="auto"/>
        </w:rPr>
      </w:pPr>
    </w:p>
    <w:p>
      <w:pPr>
        <w:ind w:firstLine="510"/>
        <w:spacing w:after="0" w:line="312" w:lineRule="auto"/>
        <w:rPr>
          <w:sz w:val="20"/>
          <w:szCs w:val="20"/>
          <w:color w:val="auto"/>
        </w:rPr>
      </w:pPr>
      <w:r>
        <w:rPr>
          <w:rFonts w:ascii="Arial" w:cs="Arial" w:eastAsia="Arial" w:hAnsi="Arial"/>
          <w:sz w:val="16"/>
          <w:szCs w:val="16"/>
          <w:color w:val="auto"/>
        </w:rPr>
        <w:t>Certain dividends received by non-corporate U.S. Holders, including individuals, are generally subject to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w:t>
      </w:r>
    </w:p>
    <w:p>
      <w:pPr>
        <w:sectPr>
          <w:pgSz w:w="11900" w:h="16885" w:orient="portrait"/>
          <w:cols w:equalWidth="0" w:num="1">
            <w:col w:w="11380"/>
          </w:cols>
          <w:pgMar w:left="240" w:top="125" w:right="279" w:bottom="0" w:gutter="0" w:footer="0" w:header="0"/>
        </w:sectPr>
      </w:pPr>
    </w:p>
    <w:bookmarkStart w:id="69" w:name="page70"/>
    <w:bookmarkEnd w:id="69"/>
    <w:p>
      <w:pPr>
        <w:ind w:right="60"/>
        <w:spacing w:after="0" w:line="259" w:lineRule="auto"/>
        <w:rPr>
          <w:sz w:val="20"/>
          <w:szCs w:val="20"/>
          <w:color w:val="auto"/>
        </w:rPr>
      </w:pPr>
      <w:r>
        <w:rPr>
          <w:rFonts w:ascii="Arial" w:cs="Arial" w:eastAsia="Arial" w:hAnsi="Arial"/>
          <w:sz w:val="18"/>
          <w:szCs w:val="18"/>
          <w:color w:val="auto"/>
        </w:rPr>
        <w:t>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Since our ADSs are listed on the NASDAQ Global Select Market, they are considered for purposes of clause (1) above to be readily tradable on an established securities market in the United States.</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event that dividends from our company are subject to withholding by the PRC, a U.S. Holder may be eligible, subject to a number of complex limitations, to claim a foreign tax credit in respect of any foreign withholding taxes imposed on dividends received on the shares or ADSs.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Dividends will constitute foreign source income for United States foreign tax credit purposes.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Taxation of Disposition of Shares or ADSs</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Subject to the PFIC rules discussed below, you will generally recognize taxable gain or loss on any sale or exchange of a share or ADS in an amount equal to the difference between the amount realized (in U.S. dollars) for the share or ADS and your tax basis (in U.S. dollars) in the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income tax treaty between the United States and the PRC, in which case a U.S. Holder eligible for treaty benefits may be able to claim a foreign tax credit, subject to applicable limitations. U.S. Holders should consult their tax advisors regarding the creditability of any PRC tax.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jc w:val="both"/>
        <w:ind w:right="40" w:firstLine="510"/>
        <w:spacing w:after="0" w:line="264"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Passive Foreign Investment Company</w:t>
      </w:r>
    </w:p>
    <w:p>
      <w:pPr>
        <w:spacing w:after="0" w:line="229"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A foreign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of its assets is attributable to assets which produce passive income or are held for the production of passive income.</w:t>
      </w:r>
    </w:p>
    <w:p>
      <w:pPr>
        <w:spacing w:after="0" w:line="166" w:lineRule="exact"/>
        <w:rPr>
          <w:sz w:val="20"/>
          <w:szCs w:val="20"/>
          <w:color w:val="auto"/>
        </w:rPr>
      </w:pPr>
    </w:p>
    <w:p>
      <w:pPr>
        <w:jc w:val="both"/>
        <w:ind w:right="120" w:firstLine="510"/>
        <w:spacing w:after="0" w:line="264" w:lineRule="auto"/>
        <w:rPr>
          <w:sz w:val="20"/>
          <w:szCs w:val="20"/>
          <w:color w:val="auto"/>
        </w:rPr>
      </w:pPr>
      <w:r>
        <w:rPr>
          <w:rFonts w:ascii="Arial" w:cs="Arial" w:eastAsia="Arial" w:hAnsi="Arial"/>
          <w:sz w:val="18"/>
          <w:szCs w:val="18"/>
          <w:color w:val="auto"/>
        </w:rPr>
        <w:t>For this purpose, cash and investment securities are categorized as passive assets and our company’s unbooked intangibles are taken into account. We will be treated as owning our proportionate share of the assets and earning our proportionate share of the income of any other corporation in which we own, directly or indirectly, more than 25% (by value) of the stock.</w:t>
      </w:r>
    </w:p>
    <w:p>
      <w:pPr>
        <w:spacing w:after="0" w:line="181" w:lineRule="exact"/>
        <w:rPr>
          <w:sz w:val="20"/>
          <w:szCs w:val="20"/>
          <w:color w:val="auto"/>
        </w:rPr>
      </w:pPr>
    </w:p>
    <w:p>
      <w:pPr>
        <w:ind w:firstLine="504"/>
        <w:spacing w:after="0" w:line="293" w:lineRule="auto"/>
        <w:rPr>
          <w:sz w:val="20"/>
          <w:szCs w:val="20"/>
          <w:color w:val="auto"/>
        </w:rPr>
      </w:pPr>
      <w:r>
        <w:rPr>
          <w:rFonts w:ascii="Arial" w:cs="Arial" w:eastAsia="Arial" w:hAnsi="Arial"/>
          <w:sz w:val="16"/>
          <w:szCs w:val="16"/>
          <w:color w:val="auto"/>
        </w:rPr>
        <w:t>We do not believe that we are currently a PFIC for United States federal income tax purposes and do not expect to become a PFIC in the future. However, the determination of whether we will be classified as a PFIC is made annually and may involve facts that are not within our control. In particular, the fair market value of some of our company’s assets may be determined in large part by the market price of the shares, which is likely to fluctuate. In addition, the composition of our company’s income and assets will be affected by how, and how quickly, our company spends any cash that is raised. Thus, no assurance can be provided that our company would not be classified as a PFIC for the current or any future taxable year. Furthermore, while we believe our valuation approach is reasonable, it is possible that the IRS could challenge our determination concerning our PFIC status.</w:t>
      </w:r>
    </w:p>
    <w:p>
      <w:pPr>
        <w:spacing w:after="0" w:line="165"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If our company is classified as a PFIC for any taxable year during which a U.S. Holder owns shares or ADSs, the U.S. Holder, absent certain elections (including a mark-to-market election),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7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Under these adverse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w:t>
      </w:r>
    </w:p>
    <w:p>
      <w:pPr>
        <w:jc w:val="both"/>
        <w:ind w:right="140" w:firstLine="8"/>
        <w:spacing w:after="0" w:line="255"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90"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Alternatively, a U.S. Holder may be eligible to make a mark-to-market election. A U.S. Holder that makes a mark-to-market election must include in ordinary income, rather than capital gain, for each year an amount equal to the excess, if any, of the fair market value of the shares or ADSs, as applicable, at the close of the taxable year over the U.S. Holder’s adjusted basis in the shares or ADSs. Additional complex rules apply and the election cannot be revoked without the consent of the IRS unless the shares or ADSs cease to be marketable.</w:t>
      </w:r>
    </w:p>
    <w:p>
      <w:pPr>
        <w:spacing w:after="0" w:line="18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Although the PFIC rules permit a holder of PFIC stock in certain circumstances to avoid some of the disadvantageous tax treatment described above by making a “qualified electing fund,” or QEF, election, a U.S. Holder will not be able to elect to treat our company as a QEF because our company does not intend to prepare the information that the U.S. Investor would need to make a QEF election.</w:t>
      </w:r>
    </w:p>
    <w:p>
      <w:pPr>
        <w:spacing w:after="0" w:line="181"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ectPr>
          <w:pgSz w:w="11900" w:h="16838" w:orient="portrait"/>
          <w:cols w:equalWidth="0" w:num="1">
            <w:col w:w="11420"/>
          </w:cols>
          <w:pgMar w:left="240" w:top="125" w:right="239" w:bottom="40" w:gutter="0" w:footer="0" w:header="0"/>
        </w:sectPr>
      </w:pPr>
    </w:p>
    <w:bookmarkStart w:id="70" w:name="page71"/>
    <w:bookmarkEnd w:id="70"/>
    <w:p>
      <w:pPr>
        <w:spacing w:after="0" w:line="95" w:lineRule="exact"/>
        <w:rPr>
          <w:sz w:val="20"/>
          <w:szCs w:val="20"/>
          <w:color w:val="auto"/>
        </w:rPr>
      </w:pPr>
    </w:p>
    <w:p>
      <w:pPr>
        <w:ind w:right="420" w:firstLine="504"/>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60" w:firstLine="504"/>
        <w:spacing w:after="0" w:line="273" w:lineRule="auto"/>
        <w:rPr>
          <w:sz w:val="20"/>
          <w:szCs w:val="20"/>
          <w:color w:val="auto"/>
        </w:rPr>
      </w:pPr>
      <w:r>
        <w:rPr>
          <w:rFonts w:ascii="Arial" w:cs="Arial" w:eastAsia="Arial" w:hAnsi="Arial"/>
          <w:sz w:val="17"/>
          <w:szCs w:val="17"/>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may apply to these payments if the U.S. Holder fails to timely provide an accurate taxpayer identification number or otherwise fails to comply with, or establish an exemption from, such backup withholding tax requirements. Certain U.S. Holders (including, among others, corporations) are not subject to the information reporting or backup withholding tax requirements described herein. U.S. Holders should consult their tax advisors as to their qualification for exemption from backup withholding tax and the procedure for establishing an exemption.</w:t>
      </w:r>
    </w:p>
    <w:p>
      <w:pPr>
        <w:spacing w:after="0" w:line="178" w:lineRule="exact"/>
        <w:rPr>
          <w:sz w:val="20"/>
          <w:szCs w:val="20"/>
          <w:color w:val="auto"/>
        </w:rPr>
      </w:pPr>
    </w:p>
    <w:p>
      <w:pPr>
        <w:ind w:right="360" w:firstLine="504"/>
        <w:spacing w:after="0" w:line="257" w:lineRule="auto"/>
        <w:rPr>
          <w:sz w:val="20"/>
          <w:szCs w:val="20"/>
          <w:color w:val="auto"/>
        </w:rPr>
      </w:pPr>
      <w:r>
        <w:rPr>
          <w:rFonts w:ascii="Arial" w:cs="Arial" w:eastAsia="Arial" w:hAnsi="Arial"/>
          <w:sz w:val="18"/>
          <w:szCs w:val="18"/>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incorporated in the Cayman Islands because of the following benefits found there:</w:t>
      </w:r>
    </w:p>
    <w:p>
      <w:pPr>
        <w:spacing w:after="0" w:line="225" w:lineRule="exact"/>
        <w:rPr>
          <w:sz w:val="20"/>
          <w:szCs w:val="20"/>
          <w:color w:val="auto"/>
        </w:rPr>
      </w:pPr>
    </w:p>
    <w:p>
      <w:pPr>
        <w:ind w:left="1000" w:hanging="4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48" w:lineRule="exact"/>
        <w:rPr>
          <w:sz w:val="20"/>
          <w:szCs w:val="20"/>
          <w:color w:val="auto"/>
        </w:rPr>
      </w:pPr>
    </w:p>
    <w:p>
      <w:pPr>
        <w:ind w:right="420" w:firstLine="518"/>
        <w:spacing w:after="0" w:line="277" w:lineRule="auto"/>
        <w:tabs>
          <w:tab w:leader="none" w:pos="7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170" w:lineRule="exact"/>
        <w:rPr>
          <w:rFonts w:ascii="Arial" w:cs="Arial" w:eastAsia="Arial" w:hAnsi="Arial"/>
          <w:sz w:val="18"/>
          <w:szCs w:val="18"/>
          <w:color w:val="auto"/>
        </w:rPr>
      </w:pPr>
    </w:p>
    <w:p>
      <w:pPr>
        <w:ind w:left="780" w:hanging="262"/>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3" w:lineRule="exact"/>
        <w:rPr>
          <w:sz w:val="20"/>
          <w:szCs w:val="20"/>
          <w:color w:val="auto"/>
        </w:rPr>
      </w:pPr>
    </w:p>
    <w:p>
      <w:pPr>
        <w:ind w:firstLine="506"/>
        <w:spacing w:after="0" w:line="277" w:lineRule="auto"/>
        <w:rPr>
          <w:sz w:val="20"/>
          <w:szCs w:val="20"/>
          <w:color w:val="auto"/>
        </w:rPr>
      </w:pPr>
      <w:r>
        <w:rPr>
          <w:rFonts w:ascii="Arial" w:cs="Arial" w:eastAsia="Arial" w:hAnsi="Arial"/>
          <w:sz w:val="18"/>
          <w:szCs w:val="18"/>
          <w:color w:val="auto"/>
        </w:rPr>
        <w:t>Maples and Calder, our counsel as to Cayman Islands law, and Jun He Lawyers, our counsel as to Chinese law, have advised us that there is uncertainty as to whether the courts of the Cayman Islands or China would:</w:t>
      </w:r>
    </w:p>
    <w:p>
      <w:pPr>
        <w:spacing w:after="0" w:line="170" w:lineRule="exact"/>
        <w:rPr>
          <w:sz w:val="20"/>
          <w:szCs w:val="20"/>
          <w:color w:val="auto"/>
        </w:rPr>
      </w:pPr>
    </w:p>
    <w:p>
      <w:pPr>
        <w:ind w:right="80" w:firstLine="518"/>
        <w:spacing w:after="0" w:line="277" w:lineRule="auto"/>
        <w:tabs>
          <w:tab w:leader="none" w:pos="7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right="200" w:firstLine="518"/>
        <w:spacing w:after="0" w:line="277" w:lineRule="auto"/>
        <w:tabs>
          <w:tab w:leader="none" w:pos="7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Maples and Calder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has advised us that although there is no statutory enforcement in the Cayman Islands of judgments obtained in the federal or state courts of the United States, a judgment obtained in such jurisdiction will be recognised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w:t>
      </w:r>
    </w:p>
    <w:p>
      <w:pPr>
        <w:sectPr>
          <w:pgSz w:w="11900" w:h="16933" w:orient="portrait"/>
          <w:cols w:equalWidth="0" w:num="1">
            <w:col w:w="11420"/>
          </w:cols>
          <w:pgMar w:left="240" w:top="125" w:right="239" w:bottom="0" w:gutter="0" w:footer="0" w:header="0"/>
        </w:sectPr>
      </w:pPr>
    </w:p>
    <w:bookmarkStart w:id="71" w:name="page72"/>
    <w:bookmarkEnd w:id="71"/>
    <w:p>
      <w:pPr>
        <w:ind w:right="560"/>
        <w:spacing w:after="0" w:line="308" w:lineRule="auto"/>
        <w:rPr>
          <w:sz w:val="20"/>
          <w:szCs w:val="20"/>
          <w:color w:val="auto"/>
        </w:rPr>
      </w:pPr>
      <w:r>
        <w:rPr>
          <w:rFonts w:ascii="Arial" w:cs="Arial" w:eastAsia="Arial" w:hAnsi="Arial"/>
          <w:sz w:val="17"/>
          <w:szCs w:val="17"/>
          <w:color w:val="auto"/>
        </w:rPr>
        <w:t>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47" w:lineRule="exact"/>
        <w:rPr>
          <w:sz w:val="20"/>
          <w:szCs w:val="20"/>
          <w:color w:val="auto"/>
        </w:rPr>
      </w:pPr>
    </w:p>
    <w:p>
      <w:pPr>
        <w:jc w:val="both"/>
        <w:ind w:right="300" w:firstLine="510"/>
        <w:spacing w:after="0" w:line="286" w:lineRule="auto"/>
        <w:rPr>
          <w:sz w:val="20"/>
          <w:szCs w:val="20"/>
          <w:color w:val="auto"/>
        </w:rPr>
      </w:pPr>
      <w:r>
        <w:rPr>
          <w:rFonts w:ascii="Arial" w:cs="Arial" w:eastAsia="Arial" w:hAnsi="Arial"/>
          <w:sz w:val="17"/>
          <w:szCs w:val="17"/>
          <w:color w:val="auto"/>
        </w:rPr>
        <w:t>Jun He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62"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We have previously filed with the SEC our registration statement on Form F-1 and prospectus under the Securities Act of 1933, as amended, with respect to our ADSs.</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w:t>
      </w:r>
    </w:p>
    <w:p>
      <w:pPr>
        <w:spacing w:after="0" w:line="189"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20" w:lineRule="exact"/>
        <w:rPr>
          <w:sz w:val="20"/>
          <w:szCs w:val="20"/>
          <w:color w:val="auto"/>
        </w:rPr>
      </w:pPr>
    </w:p>
    <w:p>
      <w:pPr>
        <w:ind w:left="520" w:right="9060" w:hanging="512"/>
        <w:spacing w:after="0" w:line="563" w:lineRule="auto"/>
        <w:tabs>
          <w:tab w:leader="none" w:pos="53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Item 5.F. “Operating and Financial Review and Prospects—Quantitative and Qualitative Disclosures About Market Risk.”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25" w:lineRule="exact"/>
        <w:rPr>
          <w:sz w:val="20"/>
          <w:szCs w:val="20"/>
          <w:color w:val="auto"/>
        </w:rPr>
      </w:pPr>
    </w:p>
    <w:p>
      <w:pPr>
        <w:ind w:left="520" w:right="9700" w:hanging="512"/>
        <w:spacing w:after="0" w:line="601" w:lineRule="auto"/>
        <w:tabs>
          <w:tab w:leader="none" w:pos="536"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520" w:right="9260" w:hanging="512"/>
        <w:spacing w:after="0" w:line="563" w:lineRule="auto"/>
        <w:tabs>
          <w:tab w:leader="none" w:pos="526"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520" w:right="9620" w:hanging="512"/>
        <w:spacing w:after="0" w:line="563" w:lineRule="auto"/>
        <w:tabs>
          <w:tab w:leader="none" w:pos="536"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Bank of New York Mellon, the depositary of our ADS program,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79" w:lineRule="exact"/>
        <w:rPr>
          <w:sz w:val="20"/>
          <w:szCs w:val="20"/>
          <w:color w:val="auto"/>
        </w:rPr>
      </w:pPr>
    </w:p>
    <w:p>
      <w:pPr>
        <w:spacing w:after="0"/>
        <w:tabs>
          <w:tab w:leader="none" w:pos="8300" w:val="left"/>
        </w:tabs>
        <w:rPr>
          <w:sz w:val="20"/>
          <w:szCs w:val="20"/>
          <w:color w:val="auto"/>
        </w:rPr>
      </w:pPr>
      <w:r>
        <w:rPr>
          <w:rFonts w:ascii="Arial" w:cs="Arial" w:eastAsia="Arial" w:hAnsi="Arial"/>
          <w:sz w:val="14"/>
          <w:szCs w:val="14"/>
          <w:b w:val="1"/>
          <w:bCs w:val="1"/>
          <w:color w:val="auto"/>
        </w:rPr>
        <w:t>Persons depositing or withdrawing shares must pay:</w:t>
      </w:r>
      <w:r>
        <w:rPr>
          <w:sz w:val="20"/>
          <w:szCs w:val="20"/>
          <w:color w:val="auto"/>
        </w:rPr>
        <w:tab/>
      </w: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2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Up to US$0.05 per ADS</w:t>
      </w:r>
      <w:r>
        <w:rPr>
          <w:sz w:val="20"/>
          <w:szCs w:val="20"/>
          <w:color w:val="auto"/>
        </w:rPr>
        <w:tab/>
      </w:r>
      <w:r>
        <w:rPr>
          <w:rFonts w:ascii="Arial" w:cs="Arial" w:eastAsia="Arial" w:hAnsi="Arial"/>
          <w:sz w:val="16"/>
          <w:szCs w:val="16"/>
          <w:color w:val="auto"/>
        </w:rPr>
        <w:t>· Issuance of ADSs, including issuances resulting from a distribution of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15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1590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72" w:name="page73"/>
    <w:bookmarkEnd w:id="7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50" w:type="dxa"/>
            <w:vAlign w:val="bottom"/>
            <w:shd w:val="clear" w:color="auto" w:fill="CCEEFF"/>
          </w:tcPr>
          <w:p>
            <w:pPr>
              <w:spacing w:after="0"/>
              <w:rPr>
                <w:sz w:val="18"/>
                <w:szCs w:val="18"/>
                <w:color w:val="auto"/>
              </w:rPr>
            </w:pPr>
          </w:p>
        </w:tc>
        <w:tc>
          <w:tcPr>
            <w:tcW w:w="6050" w:type="dxa"/>
            <w:vAlign w:val="bottom"/>
            <w:shd w:val="clear" w:color="auto" w:fill="CCEEFF"/>
          </w:tcPr>
          <w:p>
            <w:pPr>
              <w:ind w:left="310"/>
              <w:spacing w:after="0"/>
              <w:rPr>
                <w:sz w:val="20"/>
                <w:szCs w:val="20"/>
                <w:color w:val="auto"/>
              </w:rPr>
            </w:pPr>
            <w:r>
              <w:rPr>
                <w:rFonts w:ascii="Arial" w:cs="Arial" w:eastAsia="Arial" w:hAnsi="Arial"/>
                <w:sz w:val="18"/>
                <w:szCs w:val="18"/>
                <w:color w:val="auto"/>
              </w:rPr>
              <w:t>shares or rights or other property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50" w:type="dxa"/>
            <w:vAlign w:val="bottom"/>
            <w:shd w:val="clear" w:color="auto" w:fill="CCEEFF"/>
          </w:tcPr>
          <w:p>
            <w:pPr>
              <w:spacing w:after="0"/>
              <w:rPr>
                <w:sz w:val="24"/>
                <w:szCs w:val="24"/>
                <w:color w:val="auto"/>
              </w:rPr>
            </w:pPr>
          </w:p>
        </w:tc>
        <w:tc>
          <w:tcPr>
            <w:tcW w:w="6050" w:type="dxa"/>
            <w:vAlign w:val="bottom"/>
            <w:shd w:val="clear" w:color="auto" w:fill="CCEEFF"/>
          </w:tcPr>
          <w:p>
            <w:pPr>
              <w:ind w:left="130"/>
              <w:spacing w:after="0"/>
              <w:rPr>
                <w:sz w:val="20"/>
                <w:szCs w:val="20"/>
                <w:color w:val="auto"/>
              </w:rPr>
            </w:pPr>
            <w:r>
              <w:rPr>
                <w:rFonts w:ascii="Arial" w:cs="Arial" w:eastAsia="Arial" w:hAnsi="Arial"/>
                <w:sz w:val="18"/>
                <w:szCs w:val="18"/>
                <w:color w:val="auto"/>
              </w:rPr>
              <w:t>· Cancellation or withdrawals of ADSs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350" w:type="dxa"/>
            <w:vAlign w:val="bottom"/>
            <w:shd w:val="clear" w:color="auto" w:fill="CCEEFF"/>
          </w:tcPr>
          <w:p>
            <w:pPr>
              <w:spacing w:after="0"/>
              <w:rPr>
                <w:sz w:val="24"/>
                <w:szCs w:val="24"/>
                <w:color w:val="auto"/>
              </w:rPr>
            </w:pPr>
          </w:p>
        </w:tc>
        <w:tc>
          <w:tcPr>
            <w:tcW w:w="6050" w:type="dxa"/>
            <w:vAlign w:val="bottom"/>
            <w:shd w:val="clear" w:color="auto" w:fill="CCEEFF"/>
          </w:tcPr>
          <w:p>
            <w:pPr>
              <w:ind w:left="130"/>
              <w:spacing w:after="0"/>
              <w:rPr>
                <w:sz w:val="20"/>
                <w:szCs w:val="20"/>
                <w:color w:val="auto"/>
              </w:rPr>
            </w:pPr>
            <w:r>
              <w:rPr>
                <w:rFonts w:ascii="Arial" w:cs="Arial" w:eastAsia="Arial" w:hAnsi="Arial"/>
                <w:sz w:val="18"/>
                <w:szCs w:val="18"/>
                <w:color w:val="auto"/>
                <w:w w:val="97"/>
              </w:rPr>
              <w:t>· Distribution of ADSs pursuant to stock dividends, free stock distributions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50" w:type="dxa"/>
            <w:vAlign w:val="bottom"/>
            <w:shd w:val="clear" w:color="auto" w:fill="CCEEFF"/>
          </w:tcPr>
          <w:p>
            <w:pPr>
              <w:spacing w:after="0"/>
              <w:rPr>
                <w:sz w:val="20"/>
                <w:szCs w:val="20"/>
                <w:color w:val="auto"/>
              </w:rPr>
            </w:pPr>
          </w:p>
        </w:tc>
        <w:tc>
          <w:tcPr>
            <w:tcW w:w="6050" w:type="dxa"/>
            <w:vAlign w:val="bottom"/>
            <w:shd w:val="clear" w:color="auto" w:fill="CCEEFF"/>
          </w:tcPr>
          <w:p>
            <w:pPr>
              <w:ind w:left="310"/>
              <w:spacing w:after="0"/>
              <w:rPr>
                <w:sz w:val="20"/>
                <w:szCs w:val="20"/>
                <w:color w:val="auto"/>
              </w:rPr>
            </w:pPr>
            <w:r>
              <w:rPr>
                <w:rFonts w:ascii="Arial" w:cs="Arial" w:eastAsia="Arial" w:hAnsi="Arial"/>
                <w:sz w:val="18"/>
                <w:szCs w:val="18"/>
                <w:color w:val="auto"/>
              </w:rPr>
              <w:t>exercise of rights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350" w:type="dxa"/>
            <w:vAlign w:val="bottom"/>
            <w:shd w:val="clear" w:color="auto" w:fill="CCEEFF"/>
          </w:tcPr>
          <w:p>
            <w:pPr>
              <w:spacing w:after="0"/>
              <w:rPr>
                <w:sz w:val="24"/>
                <w:szCs w:val="24"/>
                <w:color w:val="auto"/>
              </w:rPr>
            </w:pPr>
          </w:p>
        </w:tc>
        <w:tc>
          <w:tcPr>
            <w:tcW w:w="6050" w:type="dxa"/>
            <w:vAlign w:val="bottom"/>
            <w:shd w:val="clear" w:color="auto" w:fill="CCEEFF"/>
          </w:tcPr>
          <w:p>
            <w:pPr>
              <w:ind w:left="130"/>
              <w:spacing w:after="0"/>
              <w:rPr>
                <w:sz w:val="20"/>
                <w:szCs w:val="20"/>
                <w:color w:val="auto"/>
              </w:rPr>
            </w:pPr>
            <w:r>
              <w:rPr>
                <w:rFonts w:ascii="Arial" w:cs="Arial" w:eastAsia="Arial" w:hAnsi="Arial"/>
                <w:sz w:val="18"/>
                <w:szCs w:val="18"/>
                <w:color w:val="auto"/>
                <w:w w:val="98"/>
              </w:rPr>
              <w:t>· Distributions of securities other than ADSs or rights to purchase additional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50" w:type="dxa"/>
            <w:vAlign w:val="bottom"/>
            <w:shd w:val="clear" w:color="auto" w:fill="CCEEFF"/>
          </w:tcPr>
          <w:p>
            <w:pPr>
              <w:spacing w:after="0"/>
              <w:rPr>
                <w:sz w:val="20"/>
                <w:szCs w:val="20"/>
                <w:color w:val="auto"/>
              </w:rPr>
            </w:pPr>
          </w:p>
        </w:tc>
        <w:tc>
          <w:tcPr>
            <w:tcW w:w="6050" w:type="dxa"/>
            <w:vAlign w:val="bottom"/>
            <w:shd w:val="clear" w:color="auto" w:fill="CCEEFF"/>
          </w:tcPr>
          <w:p>
            <w:pPr>
              <w:ind w:left="310"/>
              <w:spacing w:after="0"/>
              <w:rPr>
                <w:sz w:val="20"/>
                <w:szCs w:val="20"/>
                <w:color w:val="auto"/>
              </w:rPr>
            </w:pPr>
            <w:r>
              <w:rPr>
                <w:rFonts w:ascii="Arial" w:cs="Arial" w:eastAsia="Arial" w:hAnsi="Arial"/>
                <w:sz w:val="18"/>
                <w:szCs w:val="18"/>
                <w:color w:val="auto"/>
              </w:rPr>
              <w:t>ADSs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50" w:type="dxa"/>
            <w:vAlign w:val="bottom"/>
          </w:tcPr>
          <w:p>
            <w:pPr>
              <w:spacing w:after="0"/>
              <w:rPr>
                <w:sz w:val="18"/>
                <w:szCs w:val="18"/>
                <w:color w:val="auto"/>
              </w:rPr>
            </w:pPr>
          </w:p>
        </w:tc>
        <w:tc>
          <w:tcPr>
            <w:tcW w:w="605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50" w:type="dxa"/>
            <w:vAlign w:val="bottom"/>
            <w:shd w:val="clear" w:color="auto" w:fill="CCEEFF"/>
          </w:tcPr>
          <w:p>
            <w:pPr>
              <w:spacing w:after="0"/>
              <w:rPr>
                <w:sz w:val="20"/>
                <w:szCs w:val="20"/>
                <w:color w:val="auto"/>
              </w:rPr>
            </w:pPr>
            <w:r>
              <w:rPr>
                <w:rFonts w:ascii="Arial" w:cs="Arial" w:eastAsia="Arial" w:hAnsi="Arial"/>
                <w:sz w:val="18"/>
                <w:szCs w:val="18"/>
                <w:color w:val="auto"/>
              </w:rPr>
              <w:t>Up to US$0.01 per ADS</w:t>
            </w:r>
          </w:p>
        </w:tc>
        <w:tc>
          <w:tcPr>
            <w:tcW w:w="6050" w:type="dxa"/>
            <w:vAlign w:val="bottom"/>
            <w:shd w:val="clear" w:color="auto" w:fill="CCEEFF"/>
          </w:tcPr>
          <w:p>
            <w:pPr>
              <w:ind w:left="130"/>
              <w:spacing w:after="0"/>
              <w:rPr>
                <w:sz w:val="20"/>
                <w:szCs w:val="20"/>
                <w:color w:val="auto"/>
              </w:rPr>
            </w:pPr>
            <w:r>
              <w:rPr>
                <w:rFonts w:ascii="Arial" w:cs="Arial" w:eastAsia="Arial" w:hAnsi="Arial"/>
                <w:sz w:val="18"/>
                <w:szCs w:val="18"/>
                <w:color w:val="auto"/>
              </w:rPr>
              <w:t>· Distributions of cash dividends or other cash distributions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50" w:type="dxa"/>
            <w:vAlign w:val="bottom"/>
          </w:tcPr>
          <w:p>
            <w:pPr>
              <w:spacing w:after="0"/>
              <w:rPr>
                <w:sz w:val="18"/>
                <w:szCs w:val="18"/>
                <w:color w:val="auto"/>
              </w:rPr>
            </w:pPr>
          </w:p>
        </w:tc>
        <w:tc>
          <w:tcPr>
            <w:tcW w:w="605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50" w:type="dxa"/>
            <w:vAlign w:val="bottom"/>
            <w:shd w:val="clear" w:color="auto" w:fill="CCEEFF"/>
          </w:tcPr>
          <w:p>
            <w:pPr>
              <w:spacing w:after="0"/>
              <w:rPr>
                <w:sz w:val="20"/>
                <w:szCs w:val="20"/>
                <w:color w:val="auto"/>
              </w:rPr>
            </w:pPr>
            <w:r>
              <w:rPr>
                <w:rFonts w:ascii="Arial" w:cs="Arial" w:eastAsia="Arial" w:hAnsi="Arial"/>
                <w:sz w:val="18"/>
                <w:szCs w:val="18"/>
                <w:color w:val="auto"/>
              </w:rPr>
              <w:t>US$1.5 per certificate presented for transfer</w:t>
            </w:r>
          </w:p>
        </w:tc>
        <w:tc>
          <w:tcPr>
            <w:tcW w:w="6050" w:type="dxa"/>
            <w:vAlign w:val="bottom"/>
            <w:shd w:val="clear" w:color="auto" w:fill="CCEEFF"/>
          </w:tcPr>
          <w:p>
            <w:pPr>
              <w:ind w:left="130"/>
              <w:spacing w:after="0"/>
              <w:rPr>
                <w:sz w:val="20"/>
                <w:szCs w:val="20"/>
                <w:color w:val="auto"/>
              </w:rPr>
            </w:pPr>
            <w:r>
              <w:rPr>
                <w:rFonts w:ascii="Arial" w:cs="Arial" w:eastAsia="Arial" w:hAnsi="Arial"/>
                <w:sz w:val="18"/>
                <w:szCs w:val="18"/>
                <w:color w:val="auto"/>
              </w:rPr>
              <w:t>· Transfer of American depositary receipts, or ADRs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50" w:type="dxa"/>
            <w:vAlign w:val="bottom"/>
          </w:tcPr>
          <w:p>
            <w:pPr>
              <w:spacing w:after="0"/>
              <w:rPr>
                <w:sz w:val="18"/>
                <w:szCs w:val="18"/>
                <w:color w:val="auto"/>
              </w:rPr>
            </w:pPr>
          </w:p>
        </w:tc>
        <w:tc>
          <w:tcPr>
            <w:tcW w:w="605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5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Taxes and other governmental charges the depositary or the custodian</w:t>
            </w:r>
          </w:p>
        </w:tc>
        <w:tc>
          <w:tcPr>
            <w:tcW w:w="6050" w:type="dxa"/>
            <w:vAlign w:val="bottom"/>
            <w:shd w:val="clear" w:color="auto" w:fill="CCEEFF"/>
          </w:tcPr>
          <w:p>
            <w:pPr>
              <w:ind w:left="130"/>
              <w:spacing w:after="0" w:line="201" w:lineRule="exact"/>
              <w:rPr>
                <w:sz w:val="20"/>
                <w:szCs w:val="20"/>
                <w:color w:val="auto"/>
              </w:rPr>
            </w:pPr>
            <w:r>
              <w:rPr>
                <w:rFonts w:ascii="Arial" w:cs="Arial" w:eastAsia="Arial" w:hAnsi="Arial"/>
                <w:sz w:val="18"/>
                <w:szCs w:val="18"/>
                <w:color w:val="auto"/>
              </w:rPr>
              <w:t>· As necessary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50" w:type="dxa"/>
            <w:vAlign w:val="bottom"/>
            <w:shd w:val="clear" w:color="auto" w:fill="CCEEFF"/>
          </w:tcPr>
          <w:p>
            <w:pPr>
              <w:spacing w:after="0"/>
              <w:rPr>
                <w:sz w:val="20"/>
                <w:szCs w:val="20"/>
                <w:color w:val="auto"/>
              </w:rPr>
            </w:pPr>
            <w:r>
              <w:rPr>
                <w:rFonts w:ascii="Arial" w:cs="Arial" w:eastAsia="Arial" w:hAnsi="Arial"/>
                <w:sz w:val="18"/>
                <w:szCs w:val="18"/>
                <w:color w:val="auto"/>
              </w:rPr>
              <w:t>have to pay on any ADS or ordinary shares underlying an ADS, for</w:t>
            </w:r>
          </w:p>
        </w:tc>
        <w:tc>
          <w:tcPr>
            <w:tcW w:w="605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50" w:type="dxa"/>
            <w:vAlign w:val="bottom"/>
            <w:shd w:val="clear" w:color="auto" w:fill="CCEEFF"/>
          </w:tcPr>
          <w:p>
            <w:pPr>
              <w:spacing w:after="0"/>
              <w:rPr>
                <w:sz w:val="20"/>
                <w:szCs w:val="20"/>
                <w:color w:val="auto"/>
              </w:rPr>
            </w:pPr>
            <w:r>
              <w:rPr>
                <w:rFonts w:ascii="Arial" w:cs="Arial" w:eastAsia="Arial" w:hAnsi="Arial"/>
                <w:sz w:val="18"/>
                <w:szCs w:val="18"/>
                <w:color w:val="auto"/>
              </w:rPr>
              <w:t>example, stock transfer taxes, stamp duty or withholding taxes</w:t>
            </w:r>
          </w:p>
        </w:tc>
        <w:tc>
          <w:tcPr>
            <w:tcW w:w="605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jc w:val="both"/>
        <w:ind w:right="120" w:firstLine="510"/>
        <w:spacing w:after="0" w:line="264" w:lineRule="auto"/>
        <w:rPr>
          <w:sz w:val="20"/>
          <w:szCs w:val="20"/>
          <w:color w:val="auto"/>
        </w:rPr>
      </w:pPr>
      <w:r>
        <w:rPr>
          <w:rFonts w:ascii="Arial" w:cs="Arial" w:eastAsia="Arial" w:hAnsi="Arial"/>
          <w:sz w:val="18"/>
          <w:szCs w:val="18"/>
          <w:color w:val="auto"/>
        </w:rPr>
        <w:t>We did not receive any direct or indirect payment from the depositary in 2014, except that the depositary has agreed to waive certain fees for standard costs associated with the administration of the ADS program and waived such costs in an aggregate amount of US$25,519 for the year ended December 31,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with the participation of William Lei Ding, our Chief Executive Officer, and Onward Choi, our Acting Chief Financial Officer, have conducted an evaluation pursuant to Rule 13a-15 promulgated under the Exchange Act, as amended, of the effectiveness of our disclosure controls and procedures as of December 31, 2014. Based on this evaluation, our Chief Executive Officer and Acting Chief Financial Officer concluded that such disclosure controls and procedures were effective as of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24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Our management’s annual report on internal control over financial reporting and the related report of our independent registered public accounting firm are included in this annual report on pages F-1 and F-2,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100" w:firstLine="506"/>
        <w:spacing w:after="0" w:line="264" w:lineRule="auto"/>
        <w:rPr>
          <w:sz w:val="20"/>
          <w:szCs w:val="20"/>
          <w:color w:val="auto"/>
        </w:rPr>
      </w:pPr>
      <w:r>
        <w:rPr>
          <w:rFonts w:ascii="Arial" w:cs="Arial" w:eastAsia="Arial" w:hAnsi="Arial"/>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Disclosure of Fees Charged by Independent Accountants</w:t>
      </w:r>
    </w:p>
    <w:p>
      <w:pPr>
        <w:spacing w:after="0" w:line="229" w:lineRule="exact"/>
        <w:rPr>
          <w:sz w:val="20"/>
          <w:szCs w:val="20"/>
          <w:color w:val="auto"/>
        </w:rPr>
      </w:pPr>
    </w:p>
    <w:p>
      <w:pPr>
        <w:ind w:right="120" w:firstLine="506"/>
        <w:spacing w:after="0" w:line="277" w:lineRule="auto"/>
        <w:rPr>
          <w:sz w:val="20"/>
          <w:szCs w:val="20"/>
          <w:color w:val="auto"/>
        </w:rPr>
      </w:pPr>
      <w:r>
        <w:rPr>
          <w:rFonts w:ascii="Arial" w:cs="Arial" w:eastAsia="Arial" w:hAnsi="Arial"/>
          <w:sz w:val="18"/>
          <w:szCs w:val="18"/>
          <w:color w:val="auto"/>
        </w:rPr>
        <w:t>The following table summarizes the fees charged by PricewaterhouseCoopers Zhong Tian LLP (previously known as PricewaterhouseCoopers Zhong Tian CPAs Limited Company) for certain services rendered to our company during 2013 and 2014.</w:t>
      </w:r>
    </w:p>
    <w:p>
      <w:pPr>
        <w:sectPr>
          <w:pgSz w:w="11900" w:h="16861" w:orient="portrait"/>
          <w:cols w:equalWidth="0" w:num="1">
            <w:col w:w="11420"/>
          </w:cols>
          <w:pgMar w:left="240" w:top="140" w:right="239" w:bottom="0" w:gutter="0" w:footer="0" w:header="0"/>
        </w:sectPr>
      </w:pPr>
    </w:p>
    <w:bookmarkStart w:id="73" w:name="page74"/>
    <w:bookmarkEnd w:id="73"/>
    <w:p>
      <w:pPr>
        <w:jc w:val="center"/>
        <w:ind w:left="6720"/>
        <w:spacing w:after="0"/>
        <w:rPr>
          <w:sz w:val="20"/>
          <w:szCs w:val="20"/>
          <w:color w:val="auto"/>
        </w:rPr>
      </w:pPr>
      <w:r>
        <w:rPr>
          <w:rFonts w:ascii="Arial" w:cs="Arial" w:eastAsia="Arial" w:hAnsi="Arial"/>
          <w:sz w:val="14"/>
          <w:szCs w:val="14"/>
          <w:b w:val="1"/>
          <w:bCs w:val="1"/>
          <w:color w:val="auto"/>
        </w:rPr>
        <w:t>For the year ended</w:t>
      </w:r>
    </w:p>
    <w:p>
      <w:pPr>
        <w:jc w:val="center"/>
        <w:ind w:left="67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42"/>
        </w:trPr>
        <w:tc>
          <w:tcPr>
            <w:tcW w:w="70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2013(1)</w:t>
            </w:r>
          </w:p>
        </w:tc>
        <w:tc>
          <w:tcPr>
            <w:tcW w:w="2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3000" w:type="dxa"/>
            <w:vAlign w:val="bottom"/>
            <w:gridSpan w:val="3"/>
          </w:tcPr>
          <w:p>
            <w:pPr>
              <w:ind w:left="880"/>
              <w:spacing w:after="0" w:line="142" w:lineRule="exact"/>
              <w:rPr>
                <w:sz w:val="20"/>
                <w:szCs w:val="20"/>
                <w:color w:val="auto"/>
              </w:rPr>
            </w:pPr>
            <w:r>
              <w:rPr>
                <w:rFonts w:ascii="Arial" w:cs="Arial" w:eastAsia="Arial" w:hAnsi="Arial"/>
                <w:sz w:val="14"/>
                <w:szCs w:val="14"/>
                <w:b w:val="1"/>
                <w:bCs w:val="1"/>
                <w:color w:val="auto"/>
              </w:rPr>
              <w:t>RMB (in thousands)</w:t>
            </w:r>
          </w:p>
        </w:tc>
        <w:tc>
          <w:tcPr>
            <w:tcW w:w="180" w:type="dxa"/>
            <w:vAlign w:val="bottom"/>
            <w:gridSpan w:val="2"/>
          </w:tcPr>
          <w:p>
            <w:pPr>
              <w:spacing w:after="0"/>
              <w:rPr>
                <w:sz w:val="12"/>
                <w:szCs w:val="12"/>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 (2)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160" w:type="dxa"/>
            <w:vAlign w:val="bottom"/>
            <w:shd w:val="clear" w:color="auto" w:fill="CCEE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Tax fees (3)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fees (4)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3"/>
              </w:rPr>
              <w:t>11,252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0" w:hanging="332"/>
        <w:spacing w:after="0" w:line="277" w:lineRule="auto"/>
        <w:tabs>
          <w:tab w:leader="none" w:pos="3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fees disclosed are exclusive of out-of-pocket expenses and taxes on the amounts paid, which totaled approximately RMB607,000 and RMB1,010,000 in 2013 and 2014, respectively.</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3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for professional services rendered by our principal auditors for the audit of our annual financial statements and our internal controls over financial reporting.</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 fees” means the aggregate fees billed in each of the fiscal years for professional services rendered by our principal auditors for tax compliance and tax advice.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other fees” includes the aggregate fees billed in each of the fiscal years for non-audit services rendered which were not listed above.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06"/>
        <w:spacing w:after="0" w:line="257" w:lineRule="auto"/>
        <w:rPr>
          <w:sz w:val="20"/>
          <w:szCs w:val="20"/>
          <w:color w:val="auto"/>
        </w:rPr>
      </w:pPr>
      <w:r>
        <w:rPr>
          <w:rFonts w:ascii="Arial" w:cs="Arial" w:eastAsia="Arial" w:hAnsi="Arial"/>
          <w:sz w:val="18"/>
          <w:szCs w:val="18"/>
          <w:color w:val="auto"/>
        </w:rPr>
        <w:t>At the discretion of the government of the People’s Republic of China in accordance with the Scheme for the Localization Restructuring of Chinese-Foreign Cooperative Accounting Firms, PricewaterhouseCoopers Zhong Tian CPAs Limited Company has converted to a new partnership and changed its name to PricewaterhouseCoopers Zhong Tian LLP, effective from July 1, 2013. PricewaterhouseCoopers Zhong Tian LLP has succeeded PricewaterhouseCoopers Zhong Tian CPAs Limited Company for all purposes and assumed all of the obligations and rights of PricewaterhouseCoopers Zhong Tian CPAs Limited Company with effect from July 1, 2013.</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ind w:right="360" w:firstLine="506"/>
        <w:spacing w:after="0" w:line="264" w:lineRule="auto"/>
        <w:rPr>
          <w:sz w:val="20"/>
          <w:szCs w:val="20"/>
          <w:color w:val="auto"/>
        </w:rPr>
      </w:pPr>
      <w:r>
        <w:rPr>
          <w:rFonts w:ascii="Arial" w:cs="Arial" w:eastAsia="Arial" w:hAnsi="Arial"/>
          <w:sz w:val="18"/>
          <w:szCs w:val="18"/>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181" w:lineRule="exact"/>
        <w:rPr>
          <w:sz w:val="20"/>
          <w:szCs w:val="20"/>
          <w:color w:val="auto"/>
        </w:rPr>
      </w:pPr>
    </w:p>
    <w:p>
      <w:pPr>
        <w:ind w:left="1020" w:right="260" w:hanging="502"/>
        <w:spacing w:after="0" w:line="277" w:lineRule="auto"/>
        <w:tabs>
          <w:tab w:leader="none" w:pos="9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70" w:lineRule="exact"/>
        <w:rPr>
          <w:rFonts w:ascii="Arial" w:cs="Arial" w:eastAsia="Arial" w:hAnsi="Arial"/>
          <w:sz w:val="18"/>
          <w:szCs w:val="18"/>
          <w:color w:val="auto"/>
        </w:rPr>
      </w:pPr>
    </w:p>
    <w:p>
      <w:pPr>
        <w:ind w:left="1020" w:right="80" w:hanging="502"/>
        <w:spacing w:after="0" w:line="277" w:lineRule="auto"/>
        <w:tabs>
          <w:tab w:leader="none" w:pos="9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sought an exemption from the applicable listing standards for the audit committee of our board of directors.</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29"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On February 12, 2014, we announced a new share repurchase program authorized by our board of directors. Under the terms of the approved share repurchase program, we were authorized to purchase up to US$100.0 million worth of our issued and outstanding ADSs on the NASDAQ Global Select Market. This share repurchase program expired on February 16, 2015, and no ADSs were repurchased under it.</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9" w:lineRule="exact"/>
        <w:rPr>
          <w:sz w:val="20"/>
          <w:szCs w:val="20"/>
          <w:color w:val="auto"/>
        </w:rPr>
      </w:pPr>
    </w:p>
    <w:p>
      <w:pPr>
        <w:ind w:firstLine="510"/>
        <w:spacing w:after="0" w:line="302" w:lineRule="auto"/>
        <w:rPr>
          <w:sz w:val="20"/>
          <w:szCs w:val="20"/>
          <w:color w:val="auto"/>
        </w:rPr>
      </w:pPr>
      <w:r>
        <w:rPr>
          <w:rFonts w:ascii="Arial" w:cs="Arial" w:eastAsia="Arial" w:hAnsi="Arial"/>
          <w:sz w:val="16"/>
          <w:szCs w:val="16"/>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11280"/>
          </w:cols>
          <w:pgMar w:left="240" w:top="333" w:right="379" w:bottom="0" w:gutter="0" w:footer="0" w:header="0"/>
        </w:sectPr>
      </w:pPr>
    </w:p>
    <w:bookmarkStart w:id="74" w:name="page75"/>
    <w:bookmarkEnd w:id="74"/>
    <w:p>
      <w:pPr>
        <w:spacing w:after="0"/>
        <w:tabs>
          <w:tab w:leader="none" w:pos="10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18.</w:t>
            </w:r>
          </w:p>
        </w:tc>
        <w:tc>
          <w:tcPr>
            <w:tcW w:w="10580" w:type="dxa"/>
            <w:vAlign w:val="bottom"/>
            <w:gridSpan w:val="4"/>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0" w:type="dxa"/>
            <w:vAlign w:val="bottom"/>
            <w:gridSpan w:val="5"/>
          </w:tcPr>
          <w:p>
            <w:pPr>
              <w:ind w:left="500"/>
              <w:spacing w:after="0"/>
              <w:rPr>
                <w:sz w:val="20"/>
                <w:szCs w:val="20"/>
                <w:color w:val="auto"/>
              </w:rPr>
            </w:pPr>
            <w:r>
              <w:rPr>
                <w:rFonts w:ascii="Arial" w:cs="Arial" w:eastAsia="Arial" w:hAnsi="Arial"/>
                <w:sz w:val="18"/>
                <w:szCs w:val="18"/>
                <w:color w:val="auto"/>
              </w:rPr>
              <w:t>The consolidated financial statements for NetEase, Inc. and its subsidiaries are included at the end of this annual report.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58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1.1</w:t>
            </w: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Amended and Restated Memorandum of Association of NetEase.com, Inc. (incorporated by reference to Exhibit 3.1 to Amendment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1 to the company’s Registration Statement on Form F-1 (file no. 333-11724) filed with the SEC on May 15,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Articles of Association of NetEase.com, Inc. (incorporated by reference to Exhibit 3.2 to Amendment No. 1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 company’s Registration Statement on Form F-1 (file no. 333-11724) filed with the SEC on May 15,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Amendment to Amended and Restated Articles of Association of NetEase.com, Inc. dated as of June 6, 2003 (incorporated by reference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to Exhibit 1.3 to the company’s Annual Report on Form 20-F for the year ended December 31, 2002 filed with the SEC on June 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gridSpan w:val="4"/>
          </w:tcPr>
          <w:p>
            <w:pPr>
              <w:ind w:left="780"/>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Specimen American Depositary Receipt of NetEase.com, Inc. (incorporated by reference to Exhibit 4.1 to Amendment No. 1 to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Specimen Stock Certificate of NetEase.com, Inc. (incorporated by reference to Exhibit 4.2 to Amendment No. 1 to the company’s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Shareholder Voting Rights Trust Agreement dated May 12, 2000 among William Lei Ding, Bo Ding and NetEase Information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Technology (Beijing) Co., Ltd. (incorporated by reference to Exhibit 10.40 to Amendment No. 1 to the company’s Registration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Statement on Form F-1 (file no. 333-11724) filed with the SEC on May 15,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Amendment and Novation of Shareholder Voting Right Trust Agreement dated May 1, 2014 among William Lei Ding, Bo Ding,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Xiaojun Hui, Beijing Guangyitong Advertising Co., Ltd. and NetEase Information Technology (Beijing) Co.,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Proxy Agreement dated April 15, 2009 between NetEase (Hangzhou) Network Co., Ltd. and Zhipeng Hu.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Proxy Agreement dated April 15, 2009 between NetEase (Hangzhou) Network Co., Ltd. and Gang Chen.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2009 Restricted Share Unit Plan (incorporated by reference to Exhibit 10.1 to the company’s Registration Statement on Form S-8 (file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333-164249) filed with the SEC on January 8, 2010)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Form of Employment Agreement between NetEase.com, Inc. and its executive officers (incorporated by reference to Exhibit 4.3 to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company’s Annual Report on Form 20-F for the year ended December 31, 2009 filed with the SEC on June 29, 2010)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Domain Name License Agreement dated February 3, 2000 between NetEase.com, Inc. and Guangzhou NetEase Computer System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Co., Ltd. (incorporated by reference to Exhibit 10.7 to the company’s Registration Statement on Form F-1 (file no. 333-11724) filed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with the SEC on March 27,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580" w:type="dxa"/>
            <w:vAlign w:val="bottom"/>
            <w:gridSpan w:val="4"/>
          </w:tcPr>
          <w:p>
            <w:pPr>
              <w:jc w:val="right"/>
              <w:ind w:right="553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101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820" w:type="dxa"/>
            <w:vAlign w:val="bottom"/>
            <w:tcBorders>
              <w:top w:val="single" w:sz="8" w:color="0000EE"/>
            </w:tcBorders>
          </w:tcPr>
          <w:p>
            <w:pPr>
              <w:ind w:left="240"/>
              <w:spacing w:after="0"/>
              <w:rPr>
                <w:sz w:val="20"/>
                <w:szCs w:val="20"/>
                <w:color w:val="auto"/>
              </w:rPr>
            </w:pPr>
            <w:r>
              <w:rPr>
                <w:rFonts w:ascii="Arial" w:cs="Arial" w:eastAsia="Arial" w:hAnsi="Arial"/>
                <w:sz w:val="18"/>
                <w:szCs w:val="18"/>
                <w:color w:val="auto"/>
              </w:rPr>
              <w:t>4.4</w:t>
            </w:r>
          </w:p>
        </w:tc>
        <w:tc>
          <w:tcPr>
            <w:tcW w:w="4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Copyright License Agreement dated February 3, 2000 between NetEase Information Technology (Beijing) Co., Ltd. and Guangzhou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NetEase Computer System Co., Ltd. (incorporated by reference to Exhibit 10.8 to the company’s Registration Statement on Form F-1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Trademark License Agreement dated February 3, 2000 between NetEase Information Technology (Beijing) Co., Ltd. and Guangzhou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NetEase Computer System Co., Ltd. (incorporated by reference to Exhibit 10.9 to the company’s Registration Statement on Form F-1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Supplemental Agreement (to Copyright License Agreement and Domain Name License Agreement) dated April 27,2000 between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NetEase Information Technology (Beijing) Co., Ltd. and Guangzhou NetEase Computer System Co., Ltd.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Exhibit 10.10 to Amendment No.1 to the company’s Registration Statement on Form F-1 (file no. 333-11724) filed with the SEC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May 15,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Notice of Renewal dated April 2, 2001 relating to the Copyright License Agreement and the Trademark License Agreement each 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February 3, 2000 and made between NetEase Information Technology (Beijing) Co., Ltd. and Guangzhou NetEase Computer System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Co., Ltd. (incorporated by reference to Exhibit 4.14 to the company’s Annual Report on Form 20-F for the year ended 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2000 filed with the SEC on August 31, 2001)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gridSpan w:val="2"/>
          </w:tcPr>
          <w:p>
            <w:pPr>
              <w:ind w:left="26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Exclusive Advertising Agency Agreement dated February 3, 2000 between Guangzhou NetEase Computer System Co., Ltd. and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NetEase.com, Inc. (incorporated by reference to Exhibit 10.13 to the company’s Registration Statement on Form F-1 (file no. 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11724) filed with the SEC on March 27, 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6"/>
              </w:rPr>
              <w:t>Notice of Renewal dated April 2, 2001 relating to the Exclusive Advertising Agency Agreement dated February 3, 2000 between</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3"/>
              </w:rPr>
              <w:t>Guangzhou NetEase Computer System Co., Ltd. and NetEase.com, Inc. (incorporated by reference to Exhibit 4.18 to the company’s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Annual Report on Form 20-F for the year ended December 31, 2000 filed with the SEC on August 31, 2001)</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7"/>
              </w:rPr>
              <w:t>Trademark Transfer Agreement dated March 29, 2000 between Guangzhou NetEase Computer System Co., Ltd. and NetEase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9"/>
              </w:rPr>
              <w:t>Information Technology (Beijing) Co., Ltd. (incorporated by reference to Exhibit 10.14 to Amendment No. 1 to the company’s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7"/>
              </w:rPr>
              <w:t>Online Advertising Agreement dated February 15, 2000 between Guangzhou NetEase Computer System Co., Ltd. and Beijing</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3"/>
              </w:rPr>
              <w:t>Guangyitong Advertising Co., Ltd. (incorporated by reference to Exhibit 10.15 to the company’s Registration Statement on Form F-1</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(file no. 333-11724) filed with the SEC on March 27,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6"/>
              </w:rPr>
              <w:t>Notice of Renewal dated April 2, 2001 relating to the Online Advertising Agreement dated February 15, 2000 and made between</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8"/>
              </w:rPr>
              <w:t>Guangzhou NetEase Computer System Co., Ltd. and Beijing Guangyitong Advertising Co., Ltd. (incorporated by reference to</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3"/>
              </w:rPr>
              <w:t>Exhibit 4.21 to the company’s Annual Report on Form 20-F for the year ended December 31, 2000 filed with the SEC on August 31,</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2001)</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5"/>
              </w:rPr>
              <w:t>Supplemental Agreement dated May 15, 2000 (amending the Domain Name License Agreement) between NetEase.com, Inc. and</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3"/>
              </w:rPr>
              <w:t>Guangzhou NetEase Computer System Co., Ltd. (incorporated by reference to Exhibit 10.37 to Amendment No. 1 to the company’s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5"/>
              </w:rPr>
              <w:t>Agreement dated May 12, 2000 between NetEase Information Technology (Beijing) Co., Ltd. and Guangzhou NetEase Computer</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System Co., Ltd. (incorporated by reference to Exhibit 10.41 to Amendment No. 1 to the company’s Registration Statement on Form F-</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1 (file no. 333-11724) filed with the SEC on May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Operating Agreement dated May 10, 2000 among NetEase Information Technology (Beijing) Co., Ltd., Beijing Guangyitong</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Advertising Co., Ltd., Bo Ding and William Lei Ding (incorporated by reference to Exhibit 10.42 to Amendment No. 1 to the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r>
      <w:tr>
        <w:trPr>
          <w:trHeight w:val="432"/>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8"/>
                <w:szCs w:val="18"/>
                <w:color w:val="auto"/>
              </w:rPr>
              <w:t>96</w:t>
            </w:r>
          </w:p>
        </w:tc>
      </w:tr>
      <w:tr>
        <w:trPr>
          <w:trHeight w:val="132"/>
        </w:trPr>
        <w:tc>
          <w:tcPr>
            <w:tcW w:w="1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r>
      <w:tr>
        <w:trPr>
          <w:trHeight w:val="523"/>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3"/>
              </w:rPr>
              <w:t>Supplemental Agreement dated May 12, 2000 (supplementing the Online Advertising Agreement dated February 15, 2000) between</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8"/>
              </w:rPr>
              <w:t>Guangzhou NetEase Computer System Co., Ltd. and Beijing Guangyitong Advertising Co., Ltd. (incorporated by reference to</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Exhibit 10.47 to Amendment No. 1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May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Supplemental Agreement dated May 15, 2000 (supplementing the Domain Name License Agreement dated February 3, 2000) between</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NetEase.com, Inc. and Guangzhou NetEase Computer System Co., Ltd. (incorporated by reference to Exhibit 10.48 to Amendment</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No. 1 to the company’s Registration Statement on Form F-1 (file no. 333-11724) filed with the SEC on May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6"/>
              </w:rPr>
              <w:t>Letter of Agreement, dated June 6, 2000, among William Lei Ding, Bo Ding and NetEase.com, Inc. (incorporated by reference to</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Exhibit 10.49 to Amendment No. 2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June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2"/>
              </w:rPr>
              <w:t>Supplemental Agreement dated June 15, 2000 (supplementing the Online Advertising Agreement dated February 15, 2000), between</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8"/>
              </w:rPr>
              <w:t>Beijing Guangyitong Advertising Co., Ltd. and Guangzhou NetEase Computer System Co., Ltd. (incorporated by reference to</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Exhibit 10.50 to Amendment No. 2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June 15, 2000)</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Trademark Assignment Agreement dated August 17, 2001 between Guangzhou NetEase Computer System Co., Ltd. and NetEase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6"/>
              </w:rPr>
              <w:t>Information Technology (Beijing) Co., Ltd. and its Supplemental Agreement dated August 27, 2001 (incorporated by reference to</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3"/>
              </w:rPr>
              <w:t>Exhibit 4.53 to the company’s Annual Report on Form 20-F for the year ended December 31, 2000 filed with the SEC on August 31,</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2001)</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6"/>
              </w:rPr>
              <w:t>Supplemental Letter of Agreement dated May 17, 2004 (supplementing the Letter Agreement dated June 6, 2000 by and among</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8"/>
              </w:rPr>
              <w:t>William Lei Ding, Bo Ding and NetEase.com, Inc.) by and among William Lei Ding, Bo Ding, Jun Liang and NetEase.com, Inc.</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2"/>
              </w:rPr>
              <w:t>(incorporated by reference to Exhibit 4.39 to the company’s Annual Report on Form 20-F for the year ended December 31, 2004 filed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with the SEC on June 27, 2005)</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0"/>
              </w:rPr>
              <w:t>Second Supplemental Letter of Agreement dated July 15, 2004 (supplementing the Letter Agreement dated June 6, 2000 by and among</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2"/>
              </w:rPr>
              <w:t>William Lei Ding, Bo Ding and NetEase.com, Inc., as supplemented by the Supplemental Letter of Agreement dated May 17, 2004 by</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5"/>
              </w:rPr>
              <w:t>and among William Lei Ding, Bo Ding, Jun Liang and NetEase.com, Inc.) by and among William Lei Ding, Bo Ding, Jun Liang and</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7"/>
              </w:rPr>
              <w:t>NetEase.com, Inc. (incorporated by reference to Exhibit 4.40 to the company’s Annual Report on Form 20-F for the year ended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December 31, 2004 filed with the SEC on June 27, 2005)</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2"/>
              </w:rPr>
              <w:t>No. 3 Supplemental Letter of Agreement dated July 20, 2004 (supplementing the Letter Agreement dated June 6, 2000 by and among</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William Lei Ding, Bo Ding and NetEase.com, Inc., as supplemented by the Supplemental Letter of Agreement dated May 17, 2004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-5464175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-5464175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620" w:right="420"/>
        <w:spacing w:after="0" w:line="254" w:lineRule="auto"/>
        <w:rPr>
          <w:sz w:val="20"/>
          <w:szCs w:val="20"/>
          <w:color w:val="auto"/>
        </w:rPr>
      </w:pPr>
      <w:r>
        <w:rPr>
          <w:rFonts w:ascii="Arial" w:cs="Arial" w:eastAsia="Arial" w:hAnsi="Arial"/>
          <w:sz w:val="18"/>
          <w:szCs w:val="18"/>
          <w:color w:val="auto"/>
        </w:rPr>
        <w:t>the Second Supplemental Letter of Agreement dated July 15, 2004, each by and among William Lei Ding, Bo Ding, Jun Liang and NetEase.com, Inc.) by and among William Lei Ding, Bo Ding, Jun Liang and NetEase.com, Inc. (incorporated by reference to Exhibit 4.41 to the company’s Annual Report on Form 20-F for the year ended December 31, 2004 filed with the SEC on June 27, 2005)</w:t>
      </w:r>
    </w:p>
    <w:p>
      <w:pPr>
        <w:sectPr>
          <w:pgSz w:w="11900" w:h="16838" w:orient="portrait"/>
          <w:cols w:equalWidth="0" w:num="1">
            <w:col w:w="11460"/>
          </w:cols>
          <w:pgMar w:left="240" w:top="341" w:right="199" w:bottom="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2"/>
              </w:rPr>
              <w:t>Form of Cooperative Agreement (incorporated by reference to Exhibit 4.25 to the company’s Annual Report on Form 20-F for the year</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ended December 31, 2012 filed with the SEC on April 22, 2013)</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Loan Agreement dated March 23, 2009 between NetEase (Hangzhou) Network Co., Ltd. and Zhipeng Hu.</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Loan Agreement dated March 23, 2009 between NetEase (Hangzhou) Network Co., Ltd. and Gang Chen.</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Equity Pledge Agreement dated April 15, 2009 between NetEase (Hangzhou) Network Co., Ltd. and Zhipeng Hu.</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Equity Pledge Agreement dated April 15, 2009 between NetEase (Hangzhou) Network Co., Ltd. and Gang Chen.</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Exclusive Purchase Option Agreement dated April 15, 2009 among NetEase (Hangzhou) Network Co., Ltd., Gang Chen and Hangzhou</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Leihuo Network Co., Ltd.</w:t>
            </w:r>
          </w:p>
        </w:tc>
      </w:tr>
      <w:tr>
        <w:trPr>
          <w:trHeight w:val="432"/>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8"/>
                <w:szCs w:val="18"/>
                <w:color w:val="auto"/>
              </w:rPr>
              <w:t>97</w:t>
            </w:r>
          </w:p>
        </w:tc>
      </w:tr>
      <w:tr>
        <w:trPr>
          <w:trHeight w:val="132"/>
        </w:trPr>
        <w:tc>
          <w:tcPr>
            <w:tcW w:w="1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r>
      <w:tr>
        <w:trPr>
          <w:trHeight w:val="523"/>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9"/>
              </w:rPr>
              <w:t>Exclusive Purchase Option Agreement dated April 15, 2009 among NetEase (Hangzhou) Network Co., Ltd., Zhipeng Hu and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Hangzhou Leihuo Network Co., Ltd.</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Operating Agreement dated April 15, 2009 among NetEase (Hangzhou) Network Co., Ltd., Zhipeng Hu, Gang Chen and Hangzhou</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Leihuo Network Co., Ltd.</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6"/>
              </w:rPr>
              <w:t>Cooperation Agreement dated January 1, 2010 between NetEase (Hangzhou) Network Co., Ltd. and Hangzhou Leihuo Network</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 Ltd.</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Amendment and Novation of Operating Agreement dated May 1, 2014 among NetEase Information Technology (Beijing) Co., Ltd.,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Beijing Guangyitong Advertising Co., Ltd., Bo Ding and William Lei Ding.</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5"/>
              </w:rPr>
              <w:t>Amendment and Novation of Letter of Agreement dated May 1, 2014 among NetEase Inc., William Lei Ding, Bo Ding and Xiaojun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Hui.</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Loan Agreement dated May 1, 2014 between NetEase Information Technology (Beijing) Co., Ltd. and Xiaojun Hui.</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Equity Pledge Agreement dated May 1, 2014 between NetEase Information Technology (Beijing) Co., Ltd. and Xiaojun Hui.</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Subsidiaries and Variable Interest Entities of NetEase, Inc.</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Code of Business Conduct (incorporated by reference to Exhibit 11.1 to the company’s Annual Report on Form 20-F for the year ended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December 31, 2006 filed with the SEC on June 26, 2007)</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Certification of Chief Executive Officer Required by Rule 13a-14(a)</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Certification of Acting Chief Financial Officer Required by Rule 13a-14(a)</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4"/>
              </w:rPr>
              <w:t>Certification of Chief Executive Officer Required by Rule 13a-14(b) and Section 1350 of Chapter 63 of Title 18 of the United States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Code</w:t>
            </w:r>
          </w:p>
        </w:tc>
      </w:tr>
      <w:tr>
        <w:trPr>
          <w:trHeight w:val="418"/>
        </w:trPr>
        <w:tc>
          <w:tcPr>
            <w:tcW w:w="1280" w:type="dxa"/>
            <w:vAlign w:val="bottom"/>
          </w:tcPr>
          <w:p>
            <w:pPr>
              <w:ind w:left="26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5"/>
              </w:rPr>
              <w:t>Certification of Acting Chief Financial Officer Required by Rule 13a-14(b) and Section 1350 of Chapter 63 of Title 18 of the United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States Code</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Charter of Audit Committee of the Board of Directors of the Registrant</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Consent of PricewaterhouseCoopers Zhong Tian LLP, Independent Registered Public Accounting Firm</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Consent of Maples and Calder</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Consent of Jun He Law Offices</w:t>
            </w:r>
          </w:p>
        </w:tc>
      </w:tr>
      <w:tr>
        <w:trPr>
          <w:trHeight w:val="432"/>
        </w:trPr>
        <w:tc>
          <w:tcPr>
            <w:tcW w:w="1460" w:type="dxa"/>
            <w:vAlign w:val="bottom"/>
            <w:gridSpan w:val="2"/>
          </w:tcPr>
          <w:p>
            <w:pPr>
              <w:ind w:left="26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460" w:type="dxa"/>
            <w:vAlign w:val="bottom"/>
            <w:gridSpan w:val="2"/>
          </w:tcPr>
          <w:p>
            <w:pPr>
              <w:ind w:left="260"/>
              <w:spacing w:after="0"/>
              <w:rPr>
                <w:sz w:val="20"/>
                <w:szCs w:val="20"/>
                <w:color w:val="auto"/>
              </w:rPr>
            </w:pPr>
            <w:r>
              <w:rPr>
                <w:rFonts w:ascii="Arial" w:cs="Arial" w:eastAsia="Arial" w:hAnsi="Arial"/>
                <w:sz w:val="18"/>
                <w:szCs w:val="18"/>
                <w:color w:val="auto"/>
              </w:rPr>
              <w:t>101.SCH*</w:t>
            </w:r>
          </w:p>
        </w:tc>
        <w:tc>
          <w:tcPr>
            <w:tcW w:w="100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460" w:type="dxa"/>
            <w:vAlign w:val="bottom"/>
            <w:gridSpan w:val="2"/>
          </w:tcPr>
          <w:p>
            <w:pPr>
              <w:ind w:left="260"/>
              <w:spacing w:after="0"/>
              <w:rPr>
                <w:sz w:val="20"/>
                <w:szCs w:val="20"/>
                <w:color w:val="auto"/>
              </w:rPr>
            </w:pPr>
            <w:r>
              <w:rPr>
                <w:rFonts w:ascii="Arial" w:cs="Arial" w:eastAsia="Arial" w:hAnsi="Arial"/>
                <w:sz w:val="18"/>
                <w:szCs w:val="18"/>
                <w:color w:val="auto"/>
              </w:rPr>
              <w:t>101.CAL*</w:t>
            </w:r>
          </w:p>
        </w:tc>
        <w:tc>
          <w:tcPr>
            <w:tcW w:w="1000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60" w:type="dxa"/>
            <w:vAlign w:val="bottom"/>
            <w:gridSpan w:val="2"/>
          </w:tcPr>
          <w:p>
            <w:pPr>
              <w:ind w:left="260"/>
              <w:spacing w:after="0"/>
              <w:rPr>
                <w:sz w:val="20"/>
                <w:szCs w:val="20"/>
                <w:color w:val="auto"/>
              </w:rPr>
            </w:pPr>
            <w:r>
              <w:rPr>
                <w:rFonts w:ascii="Arial" w:cs="Arial" w:eastAsia="Arial" w:hAnsi="Arial"/>
                <w:sz w:val="18"/>
                <w:szCs w:val="18"/>
                <w:color w:val="auto"/>
              </w:rPr>
              <w:t>101.LAB*</w:t>
            </w:r>
          </w:p>
        </w:tc>
        <w:tc>
          <w:tcPr>
            <w:tcW w:w="1000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60" w:type="dxa"/>
            <w:vAlign w:val="bottom"/>
            <w:gridSpan w:val="2"/>
          </w:tcPr>
          <w:p>
            <w:pPr>
              <w:ind w:left="260"/>
              <w:spacing w:after="0"/>
              <w:rPr>
                <w:sz w:val="20"/>
                <w:szCs w:val="20"/>
                <w:color w:val="auto"/>
              </w:rPr>
            </w:pPr>
            <w:r>
              <w:rPr>
                <w:rFonts w:ascii="Arial" w:cs="Arial" w:eastAsia="Arial" w:hAnsi="Arial"/>
                <w:sz w:val="18"/>
                <w:szCs w:val="18"/>
                <w:color w:val="auto"/>
              </w:rPr>
              <w:t>101.PRE*</w:t>
            </w:r>
          </w:p>
        </w:tc>
        <w:tc>
          <w:tcPr>
            <w:tcW w:w="100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460" w:type="dxa"/>
            <w:vAlign w:val="bottom"/>
            <w:gridSpan w:val="2"/>
          </w:tcPr>
          <w:p>
            <w:pPr>
              <w:ind w:left="260"/>
              <w:spacing w:after="0"/>
              <w:rPr>
                <w:sz w:val="20"/>
                <w:szCs w:val="20"/>
                <w:color w:val="auto"/>
              </w:rPr>
            </w:pPr>
            <w:r>
              <w:rPr>
                <w:rFonts w:ascii="Arial" w:cs="Arial" w:eastAsia="Arial" w:hAnsi="Arial"/>
                <w:sz w:val="18"/>
                <w:szCs w:val="18"/>
                <w:color w:val="auto"/>
              </w:rPr>
              <w:t>101.DEF*</w:t>
            </w:r>
          </w:p>
        </w:tc>
        <w:tc>
          <w:tcPr>
            <w:tcW w:w="1000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8"/>
                <w:szCs w:val="18"/>
                <w:color w:val="auto"/>
              </w:rPr>
              <w:t>98</w:t>
            </w:r>
          </w:p>
        </w:tc>
      </w:tr>
      <w:tr>
        <w:trPr>
          <w:trHeight w:val="132"/>
        </w:trPr>
        <w:tc>
          <w:tcPr>
            <w:tcW w:w="1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-8167370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-8167370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NETEASE,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ind w:left="10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William Lei Ding</w:t>
            </w:r>
          </w:p>
        </w:tc>
        <w:tc>
          <w:tcPr>
            <w:tcW w:w="14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40" w:type="dxa"/>
            <w:vAlign w:val="bottom"/>
            <w:gridSpan w:val="4"/>
          </w:tcPr>
          <w:p>
            <w:pPr>
              <w:spacing w:after="0" w:line="195" w:lineRule="exact"/>
              <w:rPr>
                <w:sz w:val="20"/>
                <w:szCs w:val="20"/>
                <w:color w:val="auto"/>
              </w:rPr>
            </w:pPr>
            <w:r>
              <w:rPr>
                <w:rFonts w:ascii="Arial" w:cs="Arial" w:eastAsia="Arial" w:hAnsi="Arial"/>
                <w:sz w:val="18"/>
                <w:szCs w:val="18"/>
                <w:color w:val="auto"/>
              </w:rPr>
              <w:t>William Lei Ding</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ind w:left="1080"/>
              <w:spacing w:after="0"/>
              <w:rPr>
                <w:sz w:val="20"/>
                <w:szCs w:val="20"/>
                <w:color w:val="auto"/>
              </w:rPr>
            </w:pPr>
            <w:r>
              <w:rPr>
                <w:rFonts w:ascii="Arial" w:cs="Arial" w:eastAsia="Arial" w:hAnsi="Arial"/>
                <w:sz w:val="18"/>
                <w:szCs w:val="18"/>
                <w:color w:val="auto"/>
              </w:rPr>
              <w:t>Date:</w:t>
            </w:r>
          </w:p>
        </w:tc>
        <w:tc>
          <w:tcPr>
            <w:tcW w:w="3640" w:type="dxa"/>
            <w:vAlign w:val="bottom"/>
            <w:gridSpan w:val="4"/>
          </w:tcPr>
          <w:p>
            <w:pPr>
              <w:spacing w:after="0"/>
              <w:rPr>
                <w:sz w:val="20"/>
                <w:szCs w:val="20"/>
                <w:color w:val="auto"/>
              </w:rPr>
            </w:pPr>
            <w:r>
              <w:rPr>
                <w:rFonts w:ascii="Arial" w:cs="Arial" w:eastAsia="Arial" w:hAnsi="Arial"/>
                <w:sz w:val="18"/>
                <w:szCs w:val="18"/>
                <w:color w:val="auto"/>
              </w:rPr>
              <w:t>April 24, 2015</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40" w:type="dxa"/>
            <w:vAlign w:val="bottom"/>
            <w:gridSpan w:val="6"/>
          </w:tcPr>
          <w:p>
            <w:pPr>
              <w:ind w:left="558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634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6340" w:type="dxa"/>
            <w:vAlign w:val="bottom"/>
            <w:gridSpan w:val="6"/>
          </w:tcPr>
          <w:p>
            <w:pPr>
              <w:ind w:left="980"/>
              <w:spacing w:after="0"/>
              <w:rPr>
                <w:sz w:val="20"/>
                <w:szCs w:val="20"/>
                <w:color w:val="auto"/>
              </w:rPr>
            </w:pPr>
            <w:r>
              <w:rPr>
                <w:rFonts w:ascii="Arial" w:cs="Arial" w:eastAsia="Arial" w:hAnsi="Arial"/>
                <w:sz w:val="18"/>
                <w:szCs w:val="18"/>
                <w:b w:val="1"/>
                <w:bCs w:val="1"/>
                <w:color w:val="auto"/>
              </w:rPr>
              <w:t>NETEASE, INC.</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6340" w:type="dxa"/>
            <w:vAlign w:val="bottom"/>
            <w:gridSpan w:val="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Management’s report on internal control over financial reporting</w:t>
              </w:r>
            </w:hyperlink>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F-1</w:t>
            </w:r>
          </w:p>
        </w:tc>
      </w:tr>
      <w:tr>
        <w:trPr>
          <w:trHeight w:val="412"/>
        </w:trPr>
        <w:tc>
          <w:tcPr>
            <w:tcW w:w="40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 of independent registered public accounting firm</w:t>
              </w:r>
            </w:hyperlink>
          </w:p>
        </w:tc>
        <w:tc>
          <w:tcPr>
            <w:tcW w:w="600" w:type="dxa"/>
            <w:vAlign w:val="bottom"/>
            <w:tcBorders>
              <w:top w:val="single" w:sz="8" w:color="0000EE"/>
            </w:tcBorders>
            <w:gridSpan w:val="2"/>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F-2</w:t>
            </w:r>
          </w:p>
        </w:tc>
      </w:tr>
      <w:tr>
        <w:trPr>
          <w:trHeight w:val="412"/>
        </w:trPr>
        <w:tc>
          <w:tcPr>
            <w:tcW w:w="6340" w:type="dxa"/>
            <w:vAlign w:val="bottom"/>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balance sheets at December 31, 2013 and 2014</w:t>
              </w:r>
            </w:hyperlink>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F-3</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412"/>
        </w:trPr>
        <w:tc>
          <w:tcPr>
            <w:tcW w:w="9980" w:type="dxa"/>
            <w:vAlign w:val="bottom"/>
            <w:gridSpan w:val="1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operations and comprehensive income for the years ended December 31, 2012, 2013 and 2014</w:t>
              </w:r>
            </w:hyperlink>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F-4</w:t>
            </w:r>
          </w:p>
        </w:tc>
      </w:tr>
      <w:tr>
        <w:trPr>
          <w:trHeight w:val="412"/>
        </w:trPr>
        <w:tc>
          <w:tcPr>
            <w:tcW w:w="8800" w:type="dxa"/>
            <w:vAlign w:val="bottom"/>
            <w:tcBorders>
              <w:top w:val="single" w:sz="8" w:color="0000EE"/>
            </w:tcBorders>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shareholders’ equity for the years ended December 31, 2012, 2013 and 2014</w:t>
              </w:r>
            </w:hyperlink>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F-5</w:t>
            </w:r>
          </w:p>
        </w:tc>
      </w:tr>
      <w:tr>
        <w:trPr>
          <w:trHeight w:val="412"/>
        </w:trPr>
        <w:tc>
          <w:tcPr>
            <w:tcW w:w="7500" w:type="dxa"/>
            <w:vAlign w:val="bottom"/>
            <w:tcBorders>
              <w:top w:val="single" w:sz="8" w:color="0000EE"/>
            </w:tcBorders>
            <w:gridSpan w:val="8"/>
          </w:tcPr>
          <w:p>
            <w:pPr>
              <w:spacing w:after="0"/>
              <w:rPr>
                <w:rFonts w:ascii="Arial" w:cs="Arial" w:eastAsia="Arial" w:hAnsi="Arial"/>
                <w:sz w:val="18"/>
                <w:szCs w:val="18"/>
                <w:color w:val="0000EE"/>
                <w:w w:val="98"/>
              </w:rPr>
            </w:pPr>
            <w:hyperlink w:anchor="page81">
              <w:r>
                <w:rPr>
                  <w:rFonts w:ascii="Arial" w:cs="Arial" w:eastAsia="Arial" w:hAnsi="Arial"/>
                  <w:sz w:val="18"/>
                  <w:szCs w:val="18"/>
                  <w:color w:val="0000EE"/>
                  <w:w w:val="98"/>
                </w:rPr>
                <w:t>Consolidated statements of cash flows for the years ended December 31, 2012, 2013 and 2014</w:t>
              </w:r>
            </w:hyperlink>
          </w:p>
        </w:tc>
        <w:tc>
          <w:tcPr>
            <w:tcW w:w="2480" w:type="dxa"/>
            <w:vAlign w:val="bottom"/>
            <w:gridSpan w:val="2"/>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F-6</w:t>
            </w:r>
          </w:p>
        </w:tc>
      </w:tr>
      <w:tr>
        <w:trPr>
          <w:trHeight w:val="412"/>
        </w:trPr>
        <w:tc>
          <w:tcPr>
            <w:tcW w:w="6340" w:type="dxa"/>
            <w:vAlign w:val="bottom"/>
            <w:tcBorders>
              <w:top w:val="single" w:sz="8" w:color="0000EE"/>
            </w:tcBorders>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the consolidated financial statements</w:t>
              </w:r>
            </w:hyperlink>
          </w:p>
        </w:tc>
        <w:tc>
          <w:tcPr>
            <w:tcW w:w="4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F-7</w:t>
            </w:r>
          </w:p>
        </w:tc>
      </w:tr>
      <w:tr>
        <w:trPr>
          <w:trHeight w:val="368"/>
        </w:trPr>
        <w:tc>
          <w:tcPr>
            <w:tcW w:w="1280" w:type="dxa"/>
            <w:vAlign w:val="bottom"/>
            <w:tcBorders>
              <w:top w:val="single" w:sz="8" w:color="0000EE"/>
              <w:bottom w:val="single" w:sz="8" w:color="010101"/>
            </w:tcBorders>
          </w:tcPr>
          <w:p>
            <w:pPr>
              <w:spacing w:after="0"/>
              <w:rPr>
                <w:sz w:val="24"/>
                <w:szCs w:val="24"/>
                <w:color w:val="auto"/>
              </w:rPr>
            </w:pPr>
          </w:p>
        </w:tc>
        <w:tc>
          <w:tcPr>
            <w:tcW w:w="2040" w:type="dxa"/>
            <w:vAlign w:val="bottom"/>
            <w:tcBorders>
              <w:top w:val="single" w:sz="8" w:color="0000EE"/>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-2816225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-2816225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2014. In making this assessment, the Company’s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concluded that, as of the end of the Company’s most recent fiscal year,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the Company’s internal control over financial reporting is effective based on those criteria.</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PricewaterhouseCoopers Zhong Tian LLP, the Company’s independent registered public accounting firm, has audited the effectiveness of the Company’s internal control over financial reporting as of December 31, 2014, as stated in their report, which is included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NetEase, Inc.</w:t>
      </w:r>
    </w:p>
    <w:p>
      <w:pPr>
        <w:sectPr>
          <w:pgSz w:w="11900" w:h="16838" w:orient="portrait"/>
          <w:cols w:equalWidth="0" w:num="1">
            <w:col w:w="11460"/>
          </w:cols>
          <w:pgMar w:left="240" w:top="125" w:right="199" w:bottom="0" w:gutter="0" w:footer="0" w:header="0"/>
        </w:sectPr>
      </w:pPr>
    </w:p>
    <w:bookmarkStart w:id="78" w:name="page79"/>
    <w:bookmarkEnd w:id="78"/>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income, of shareholders’ equity and of cash flows present fairly, in all material respects, the financial position of NetEase, Inc. and its subsidiaries (“the Company”)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Internal Control—Integrated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1,458,298</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2,021,453</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16,625,468</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18,496,574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2,981,107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2,136,749</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2,628,847</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402,511</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873,137</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Prepayments and other current assets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1,144,272</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1,451,919</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901,183</w:t>
            </w:r>
          </w:p>
        </w:tc>
        <w:tc>
          <w:tcPr>
            <w:tcW w:w="1600" w:type="dxa"/>
            <w:vAlign w:val="bottom"/>
          </w:tcPr>
          <w:p>
            <w:pPr>
              <w:jc w:val="right"/>
              <w:spacing w:after="0"/>
              <w:rPr>
                <w:sz w:val="20"/>
                <w:szCs w:val="20"/>
                <w:color w:val="auto"/>
              </w:rPr>
            </w:pPr>
            <w:r>
              <w:rPr>
                <w:rFonts w:ascii="Arial" w:cs="Arial" w:eastAsia="Arial" w:hAnsi="Arial"/>
                <w:sz w:val="18"/>
                <w:szCs w:val="18"/>
                <w:color w:val="auto"/>
              </w:rPr>
              <w:t>2,058,552</w:t>
            </w:r>
          </w:p>
        </w:tc>
        <w:tc>
          <w:tcPr>
            <w:tcW w:w="16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331,778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129,282</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202,040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22,797,763</w:t>
            </w:r>
          </w:p>
        </w:tc>
        <w:tc>
          <w:tcPr>
            <w:tcW w:w="1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27,732,522</w:t>
            </w:r>
          </w:p>
        </w:tc>
        <w:tc>
          <w:tcPr>
            <w:tcW w:w="16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4,469,671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Non-current assets: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software, net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872,113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1,281,225</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Land use right, net</w:t>
            </w:r>
          </w:p>
        </w:tc>
        <w:tc>
          <w:tcPr>
            <w:tcW w:w="1600" w:type="dxa"/>
            <w:vAlign w:val="bottom"/>
          </w:tcPr>
          <w:p>
            <w:pPr>
              <w:jc w:val="right"/>
              <w:spacing w:after="0"/>
              <w:rPr>
                <w:sz w:val="20"/>
                <w:szCs w:val="20"/>
                <w:color w:val="auto"/>
              </w:rPr>
            </w:pPr>
            <w:r>
              <w:rPr>
                <w:rFonts w:ascii="Arial" w:cs="Arial" w:eastAsia="Arial" w:hAnsi="Arial"/>
                <w:sz w:val="18"/>
                <w:szCs w:val="18"/>
                <w:color w:val="auto"/>
              </w:rPr>
              <w:t>11,271</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77,648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23,085</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673,000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342,098</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569,116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non-current assets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1,748,567</w:t>
            </w:r>
          </w:p>
        </w:tc>
        <w:tc>
          <w:tcPr>
            <w:tcW w:w="1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2,622,149</w:t>
            </w:r>
          </w:p>
        </w:tc>
        <w:tc>
          <w:tcPr>
            <w:tcW w:w="16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24,546,330</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30,354,671</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4,892,285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6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Liabilities, Mezzanine Classified Noncontrolling Interests and Shareholders’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b w:val="1"/>
                <w:bCs w:val="1"/>
                <w:color w:val="auto"/>
              </w:rPr>
              <w:t>Equity</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160"/>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VIEs without</w:t>
            </w:r>
          </w:p>
        </w:tc>
        <w:tc>
          <w:tcPr>
            <w:tcW w:w="17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219,259</w:t>
            </w:r>
          </w:p>
        </w:tc>
        <w:tc>
          <w:tcPr>
            <w:tcW w:w="1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410,722</w:t>
            </w:r>
          </w:p>
        </w:tc>
        <w:tc>
          <w:tcPr>
            <w:tcW w:w="1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66,196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w w:val="95"/>
              </w:rPr>
              <w:t>recourse to the primary beneficiaries of RMB203,949 and RMB408,112 as of</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79" w:name="page80"/>
    <w:bookmarkEnd w:id="7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December 31, 2013 and 2014, respectively)</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Salary and welfare payables (including salary and welfare payables of the</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VIEs without recourse to the primary beneficiaries of</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RMB34,631 and RMB56,917 as of December 31, 2013 and 2014,</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377,117</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534,565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160"/>
              <w:spacing w:after="0" w:line="201" w:lineRule="exact"/>
              <w:rPr>
                <w:sz w:val="20"/>
                <w:szCs w:val="20"/>
                <w:color w:val="auto"/>
              </w:rPr>
            </w:pPr>
            <w:r>
              <w:rPr>
                <w:rFonts w:ascii="Arial" w:cs="Arial" w:eastAsia="Arial" w:hAnsi="Arial"/>
                <w:sz w:val="18"/>
                <w:szCs w:val="18"/>
                <w:color w:val="auto"/>
              </w:rPr>
              <w:t>Taxes payable (including taxes payable of the consolidated VIEs without</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w w:val="98"/>
              </w:rPr>
              <w:t>recourse to the primary beneficiaries of RMB12,015 and RMB40,894 as of</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December 31, 2013 and 2014, respectively)</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74,463</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334,290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loan</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975,504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2,049,865</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160"/>
              <w:spacing w:after="0" w:line="201" w:lineRule="exact"/>
              <w:rPr>
                <w:sz w:val="20"/>
                <w:szCs w:val="20"/>
                <w:color w:val="auto"/>
              </w:rPr>
            </w:pPr>
            <w:r>
              <w:rPr>
                <w:rFonts w:ascii="Arial" w:cs="Arial" w:eastAsia="Arial" w:hAnsi="Arial"/>
                <w:sz w:val="18"/>
                <w:szCs w:val="18"/>
                <w:color w:val="auto"/>
                <w:w w:val="95"/>
              </w:rPr>
              <w:t>Deferred revenue (including deferred revenue of the consolidated VIEs without</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w w:val="95"/>
              </w:rPr>
              <w:t>recourse to the primary beneficiaries of RMB610,403 and RMB871,722 as of</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December 31, 2013 and 2014, respectively)</w:t>
            </w:r>
          </w:p>
        </w:tc>
        <w:tc>
          <w:tcPr>
            <w:tcW w:w="1600" w:type="dxa"/>
            <w:vAlign w:val="bottom"/>
          </w:tcPr>
          <w:p>
            <w:pPr>
              <w:jc w:val="right"/>
              <w:spacing w:after="0"/>
              <w:rPr>
                <w:sz w:val="20"/>
                <w:szCs w:val="20"/>
                <w:color w:val="auto"/>
              </w:rPr>
            </w:pPr>
            <w:r>
              <w:rPr>
                <w:rFonts w:ascii="Arial" w:cs="Arial" w:eastAsia="Arial" w:hAnsi="Arial"/>
                <w:sz w:val="18"/>
                <w:szCs w:val="18"/>
                <w:color w:val="auto"/>
              </w:rPr>
              <w:t>1,481,036</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1,967,780</w:t>
            </w:r>
          </w:p>
        </w:tc>
        <w:tc>
          <w:tcPr>
            <w:tcW w:w="16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317,149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Accrued liabilities and other payables (including accrued liabilities and other</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payables of the consolidated VIEs without recourse to the primary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beneficiaries of RMB593,706 and RMB765,895 as of December 31, 2013 and</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respectively)</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957,299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1,357,228</w:t>
            </w: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148,506</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101,997</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16,439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4,233,184</w:t>
            </w: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6,756,447</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line="196" w:lineRule="exact"/>
              <w:rPr>
                <w:sz w:val="20"/>
                <w:szCs w:val="20"/>
                <w:color w:val="auto"/>
              </w:rPr>
            </w:pPr>
            <w:r>
              <w:rPr>
                <w:rFonts w:ascii="Arial" w:cs="Arial" w:eastAsia="Arial" w:hAnsi="Arial"/>
                <w:sz w:val="18"/>
                <w:szCs w:val="18"/>
                <w:color w:val="auto"/>
              </w:rPr>
              <w:t>Long-term payable:</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payable</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144,883</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106,430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4,378,067</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6,862,877</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22)</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Mezzanine classified noncontrolling interests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133,634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Ordinary shares, US$0.0001 par value: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1,000,300,000 shares authorized, 3,250,284 shares issued and outstanding as of</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2013 and 3,268,019 shares issued and outstanding as of</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2014</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2,663</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0" w:type="dxa"/>
            <w:vAlign w:val="bottom"/>
          </w:tcPr>
          <w:p>
            <w:pPr>
              <w:jc w:val="right"/>
              <w:spacing w:after="0"/>
              <w:rPr>
                <w:sz w:val="20"/>
                <w:szCs w:val="20"/>
                <w:color w:val="auto"/>
              </w:rPr>
            </w:pPr>
            <w:r>
              <w:rPr>
                <w:rFonts w:ascii="Arial" w:cs="Arial" w:eastAsia="Arial" w:hAnsi="Arial"/>
                <w:sz w:val="18"/>
                <w:szCs w:val="18"/>
                <w:color w:val="auto"/>
              </w:rPr>
              <w:t>854,878</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1,226,416</w:t>
            </w:r>
          </w:p>
        </w:tc>
        <w:tc>
          <w:tcPr>
            <w:tcW w:w="16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197,662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878,466</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937,282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Retained earnings</w:t>
            </w:r>
          </w:p>
        </w:tc>
        <w:tc>
          <w:tcPr>
            <w:tcW w:w="1600" w:type="dxa"/>
            <w:vAlign w:val="bottom"/>
          </w:tcPr>
          <w:p>
            <w:pPr>
              <w:jc w:val="right"/>
              <w:spacing w:after="0"/>
              <w:rPr>
                <w:sz w:val="20"/>
                <w:szCs w:val="20"/>
                <w:color w:val="auto"/>
              </w:rPr>
            </w:pPr>
            <w:r>
              <w:rPr>
                <w:rFonts w:ascii="Arial" w:cs="Arial" w:eastAsia="Arial" w:hAnsi="Arial"/>
                <w:sz w:val="18"/>
                <w:szCs w:val="18"/>
                <w:color w:val="auto"/>
              </w:rPr>
              <w:t>18,509,161</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21,223,973</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3,420,684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NetEase, Inc’s shareholders’ equity</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20,245,168</w:t>
            </w: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23,390,345</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(76,905)</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(32,185)</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20,168,263</w:t>
            </w: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23,358,160</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3,764,652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liabilities, mezzanine classified noncontrolling interests and shareholders’</w:t>
            </w:r>
          </w:p>
        </w:tc>
        <w:tc>
          <w:tcPr>
            <w:tcW w:w="1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24,546,330</w:t>
            </w:r>
          </w:p>
        </w:tc>
        <w:tc>
          <w:tcPr>
            <w:tcW w:w="1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30,354,671</w:t>
            </w:r>
          </w:p>
        </w:tc>
        <w:tc>
          <w:tcPr>
            <w:tcW w:w="1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4,892,285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78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per share data or per ADS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For the year ended December 31,</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0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72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70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700" w:type="dxa"/>
            <w:vAlign w:val="bottom"/>
            <w:tcBorders>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00" w:type="dxa"/>
            <w:vAlign w:val="bottom"/>
          </w:tcPr>
          <w:p>
            <w:pPr>
              <w:jc w:val="right"/>
              <w:ind w:right="59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720" w:type="dxa"/>
            <w:vAlign w:val="bottom"/>
          </w:tcPr>
          <w:p>
            <w:pPr>
              <w:jc w:val="right"/>
              <w:ind w:right="613"/>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700" w:type="dxa"/>
            <w:vAlign w:val="bottom"/>
          </w:tcPr>
          <w:p>
            <w:pPr>
              <w:jc w:val="right"/>
              <w:ind w:right="59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700" w:type="dxa"/>
            <w:vAlign w:val="bottom"/>
          </w:tcPr>
          <w:p>
            <w:pPr>
              <w:jc w:val="right"/>
              <w:ind w:right="65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Online game services</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7,287,063</w:t>
            </w:r>
          </w:p>
        </w:tc>
        <w:tc>
          <w:tcPr>
            <w:tcW w:w="1720" w:type="dxa"/>
            <w:vAlign w:val="bottom"/>
          </w:tcPr>
          <w:p>
            <w:pPr>
              <w:jc w:val="right"/>
              <w:spacing w:after="0"/>
              <w:rPr>
                <w:sz w:val="20"/>
                <w:szCs w:val="20"/>
                <w:color w:val="auto"/>
              </w:rPr>
            </w:pPr>
            <w:r>
              <w:rPr>
                <w:rFonts w:ascii="Arial" w:cs="Arial" w:eastAsia="Arial" w:hAnsi="Arial"/>
                <w:sz w:val="18"/>
                <w:szCs w:val="18"/>
                <w:color w:val="auto"/>
              </w:rPr>
              <w:t>8,308,618</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9,815,019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1,581,894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services</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850,157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1,094,623</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1,551,652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E-mail, e-commerce and others</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242,741</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368,014</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1,113,773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179,507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8,379,961</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9,771,255</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12,480,444</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2,011,482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Sales tax expense</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(179,005)</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(575,080)</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(767,610)</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(123,716)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8,200,956</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9,196,175</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11,712,834</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1,887,766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(2,578,067)</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(2,478,516)</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(3,261,544)</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(525,665)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5,622,889</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(906,707)</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(1,093,612)</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(1,894,998)</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(305,418)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(286,223)</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(349,832)</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(467,669)</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(718,315)</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(921,618)</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(1,323,498)</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(213,309)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(1,911,245)</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(2,365,062)</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(3,686,165)</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3,711,644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4,352,597</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4,765,125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income/(expenses):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43,770</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37,255</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27,373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18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423,634</w:t>
            </w:r>
          </w:p>
        </w:tc>
        <w:tc>
          <w:tcPr>
            <w:tcW w:w="1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506,181</w:t>
            </w:r>
          </w:p>
        </w:tc>
        <w:tc>
          <w:tcPr>
            <w:tcW w:w="18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601,502</w:t>
            </w:r>
          </w:p>
        </w:tc>
        <w:tc>
          <w:tcPr>
            <w:tcW w:w="18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96,944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Exchange losses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(15,348)</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(17,998)</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net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99,718</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95,136</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82,438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4,278,212</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4,975,821</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5,458,440</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(691,642)</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(530,603)</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(662,735)</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(106,814)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3,586,570</w:t>
            </w:r>
          </w:p>
        </w:tc>
        <w:tc>
          <w:tcPr>
            <w:tcW w:w="1720" w:type="dxa"/>
            <w:vAlign w:val="bottom"/>
          </w:tcPr>
          <w:p>
            <w:pPr>
              <w:jc w:val="right"/>
              <w:spacing w:after="0"/>
              <w:rPr>
                <w:sz w:val="20"/>
                <w:szCs w:val="20"/>
                <w:color w:val="auto"/>
              </w:rPr>
            </w:pPr>
            <w:r>
              <w:rPr>
                <w:rFonts w:ascii="Arial" w:cs="Arial" w:eastAsia="Arial" w:hAnsi="Arial"/>
                <w:sz w:val="18"/>
                <w:szCs w:val="18"/>
                <w:color w:val="auto"/>
              </w:rPr>
              <w:t>4,445,218</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4,795,705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772,927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Net loss/(income) attributable to</w:t>
            </w: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noncontrolling interests and mezzanine classified</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50,882</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(39,082)</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attributable to the NetEase, Inc.’s</w:t>
            </w:r>
          </w:p>
        </w:tc>
        <w:tc>
          <w:tcPr>
            <w:tcW w:w="1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vMerge w:val="continue"/>
          </w:tcPr>
          <w:p>
            <w:pPr>
              <w:spacing w:after="0"/>
              <w:rPr>
                <w:sz w:val="15"/>
                <w:szCs w:val="15"/>
                <w:color w:val="auto"/>
              </w:rPr>
            </w:pPr>
          </w:p>
        </w:tc>
        <w:tc>
          <w:tcPr>
            <w:tcW w:w="1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3,637,452</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4,443,910</w:t>
            </w:r>
          </w:p>
        </w:tc>
        <w:tc>
          <w:tcPr>
            <w:tcW w:w="180" w:type="dxa"/>
            <w:vAlign w:val="bottom"/>
          </w:tcPr>
          <w:p>
            <w:pPr>
              <w:spacing w:after="0"/>
              <w:rPr>
                <w:sz w:val="15"/>
                <w:szCs w:val="15"/>
                <w:color w:val="auto"/>
              </w:rPr>
            </w:pPr>
          </w:p>
        </w:tc>
        <w:tc>
          <w:tcPr>
            <w:tcW w:w="1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4,756,623</w:t>
            </w:r>
          </w:p>
        </w:tc>
        <w:tc>
          <w:tcPr>
            <w:tcW w:w="1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766,628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94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1880" w:type="dxa"/>
            <w:vAlign w:val="bottom"/>
            <w:gridSpan w:val="2"/>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vMerge w:val="continue"/>
          </w:tcPr>
          <w:p>
            <w:pPr>
              <w:spacing w:after="0"/>
              <w:rPr>
                <w:sz w:val="22"/>
                <w:szCs w:val="22"/>
                <w:color w:val="auto"/>
              </w:rPr>
            </w:pPr>
          </w:p>
        </w:tc>
        <w:tc>
          <w:tcPr>
            <w:tcW w:w="18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Comprehensive income</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3,586,570</w:t>
            </w:r>
          </w:p>
        </w:tc>
        <w:tc>
          <w:tcPr>
            <w:tcW w:w="1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4,445,218</w:t>
            </w:r>
          </w:p>
        </w:tc>
        <w:tc>
          <w:tcPr>
            <w:tcW w:w="1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4,795,705</w:t>
            </w:r>
          </w:p>
        </w:tc>
        <w:tc>
          <w:tcPr>
            <w:tcW w:w="1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772,927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9"/>
              </w:rPr>
              <w:t>Add: Comprehensive loss/(income) attributable to</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6"/>
              </w:rPr>
              <w:t>noncontrolling interests and mezzanine classified</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50,882</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(1,308)</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(39,082)</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Comprehensive income attributable to the</w:t>
            </w: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vMerge w:val="continue"/>
            <w:shd w:val="clear" w:color="auto" w:fill="CCEEFF"/>
          </w:tcPr>
          <w:p>
            <w:pPr>
              <w:spacing w:after="0"/>
              <w:rPr>
                <w:sz w:val="15"/>
                <w:szCs w:val="15"/>
                <w:color w:val="auto"/>
              </w:rPr>
            </w:pPr>
          </w:p>
        </w:tc>
        <w:tc>
          <w:tcPr>
            <w:tcW w:w="1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3,637,452</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4,443,910</w:t>
            </w:r>
          </w:p>
        </w:tc>
        <w:tc>
          <w:tcPr>
            <w:tcW w:w="180" w:type="dxa"/>
            <w:vAlign w:val="bottom"/>
            <w:shd w:val="clear" w:color="auto" w:fill="CCEEFF"/>
          </w:tcPr>
          <w:p>
            <w:pPr>
              <w:spacing w:after="0"/>
              <w:rPr>
                <w:sz w:val="15"/>
                <w:szCs w:val="15"/>
                <w:color w:val="auto"/>
              </w:rPr>
            </w:pPr>
          </w:p>
        </w:tc>
        <w:tc>
          <w:tcPr>
            <w:tcW w:w="1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4,756,623</w:t>
            </w:r>
          </w:p>
        </w:tc>
        <w:tc>
          <w:tcPr>
            <w:tcW w:w="1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766,628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NetEase, Inc.’s shareholders</w:t>
            </w:r>
          </w:p>
        </w:tc>
        <w:tc>
          <w:tcPr>
            <w:tcW w:w="1880" w:type="dxa"/>
            <w:vAlign w:val="bottom"/>
            <w:gridSpan w:val="2"/>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gridSpan w:val="2"/>
            <w:vMerge w:val="continue"/>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ADS, basic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 diluted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ADS, diluted</w:t>
      </w:r>
    </w:p>
    <w:p>
      <w:pPr>
        <w:spacing w:after="0" w:line="50" w:lineRule="exact"/>
        <w:rPr>
          <w:sz w:val="20"/>
          <w:szCs w:val="20"/>
          <w:color w:val="auto"/>
        </w:rPr>
      </w:pPr>
    </w:p>
    <w:p>
      <w:pPr>
        <w:ind w:left="180" w:right="180" w:hanging="179"/>
        <w:spacing w:after="0" w:line="258" w:lineRule="auto"/>
        <w:rPr>
          <w:sz w:val="20"/>
          <w:szCs w:val="20"/>
          <w:color w:val="auto"/>
        </w:rPr>
      </w:pPr>
      <w:r>
        <w:rPr>
          <w:rFonts w:ascii="Arial" w:cs="Arial" w:eastAsia="Arial" w:hAnsi="Arial"/>
          <w:sz w:val="18"/>
          <w:szCs w:val="18"/>
          <w:color w:val="auto"/>
        </w:rPr>
        <w:t>Weighted average number of ordinary shares outstanding, basic</w:t>
      </w:r>
    </w:p>
    <w:p>
      <w:pPr>
        <w:spacing w:after="0" w:line="1" w:lineRule="exact"/>
        <w:rPr>
          <w:sz w:val="20"/>
          <w:szCs w:val="20"/>
          <w:color w:val="auto"/>
        </w:rPr>
      </w:pPr>
    </w:p>
    <w:p>
      <w:pPr>
        <w:ind w:left="180" w:hanging="179"/>
        <w:spacing w:after="0" w:line="250" w:lineRule="auto"/>
        <w:rPr>
          <w:sz w:val="20"/>
          <w:szCs w:val="20"/>
          <w:color w:val="auto"/>
        </w:rPr>
      </w:pPr>
      <w:r>
        <w:rPr>
          <w:rFonts w:ascii="Arial" w:cs="Arial" w:eastAsia="Arial" w:hAnsi="Arial"/>
          <w:sz w:val="18"/>
          <w:szCs w:val="18"/>
          <w:color w:val="auto"/>
        </w:rPr>
        <w:t>Weighted average number of ADS outstanding, basic</w:t>
      </w:r>
    </w:p>
    <w:p>
      <w:pPr>
        <w:spacing w:after="0" w:line="1" w:lineRule="exact"/>
        <w:rPr>
          <w:sz w:val="20"/>
          <w:szCs w:val="20"/>
          <w:color w:val="auto"/>
        </w:rPr>
      </w:pPr>
    </w:p>
    <w:p>
      <w:pPr>
        <w:ind w:left="180" w:right="180" w:hanging="179"/>
        <w:spacing w:after="0" w:line="250" w:lineRule="auto"/>
        <w:rPr>
          <w:sz w:val="20"/>
          <w:szCs w:val="20"/>
          <w:color w:val="auto"/>
        </w:rPr>
      </w:pPr>
      <w:r>
        <w:rPr>
          <w:rFonts w:ascii="Arial" w:cs="Arial" w:eastAsia="Arial" w:hAnsi="Arial"/>
          <w:sz w:val="18"/>
          <w:szCs w:val="18"/>
          <w:color w:val="auto"/>
        </w:rPr>
        <w:t>Weighted average number of ordinary shares outstanding, diluted</w:t>
      </w:r>
    </w:p>
    <w:p>
      <w:pPr>
        <w:spacing w:after="0" w:line="1" w:lineRule="exact"/>
        <w:rPr>
          <w:sz w:val="20"/>
          <w:szCs w:val="20"/>
          <w:color w:val="auto"/>
        </w:rPr>
      </w:pPr>
    </w:p>
    <w:p>
      <w:pPr>
        <w:ind w:left="180" w:hanging="179"/>
        <w:spacing w:after="0" w:line="261" w:lineRule="auto"/>
        <w:rPr>
          <w:sz w:val="20"/>
          <w:szCs w:val="20"/>
          <w:color w:val="auto"/>
        </w:rPr>
      </w:pPr>
      <w:r>
        <w:rPr>
          <w:rFonts w:ascii="Arial" w:cs="Arial" w:eastAsia="Arial" w:hAnsi="Arial"/>
          <w:sz w:val="18"/>
          <w:szCs w:val="18"/>
          <w:color w:val="auto"/>
        </w:rPr>
        <w:t>Weighted average number of ADS outstanding,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27.70</w:t>
            </w:r>
          </w:p>
        </w:tc>
        <w:tc>
          <w:tcPr>
            <w:tcW w:w="18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34.21</w:t>
            </w:r>
          </w:p>
        </w:tc>
        <w:tc>
          <w:tcPr>
            <w:tcW w:w="18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36.43</w:t>
            </w:r>
          </w:p>
        </w:tc>
        <w:tc>
          <w:tcPr>
            <w:tcW w:w="18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18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18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18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27.65</w:t>
            </w:r>
          </w:p>
        </w:tc>
        <w:tc>
          <w:tcPr>
            <w:tcW w:w="18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34.12</w:t>
            </w:r>
          </w:p>
        </w:tc>
        <w:tc>
          <w:tcPr>
            <w:tcW w:w="18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36.29</w:t>
            </w:r>
          </w:p>
        </w:tc>
        <w:tc>
          <w:tcPr>
            <w:tcW w:w="18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3,282,663</w:t>
            </w:r>
          </w:p>
        </w:tc>
        <w:tc>
          <w:tcPr>
            <w:tcW w:w="1720" w:type="dxa"/>
            <w:vAlign w:val="bottom"/>
          </w:tcPr>
          <w:p>
            <w:pPr>
              <w:jc w:val="right"/>
              <w:spacing w:after="0"/>
              <w:rPr>
                <w:sz w:val="20"/>
                <w:szCs w:val="20"/>
                <w:color w:val="auto"/>
              </w:rPr>
            </w:pPr>
            <w:r>
              <w:rPr>
                <w:rFonts w:ascii="Arial" w:cs="Arial" w:eastAsia="Arial" w:hAnsi="Arial"/>
                <w:sz w:val="18"/>
                <w:szCs w:val="18"/>
                <w:color w:val="auto"/>
              </w:rPr>
              <w:t>3,247,874</w:t>
            </w:r>
          </w:p>
        </w:tc>
        <w:tc>
          <w:tcPr>
            <w:tcW w:w="180" w:type="dxa"/>
            <w:vAlign w:val="bottom"/>
          </w:tcPr>
          <w:p>
            <w:pPr>
              <w:spacing w:after="0"/>
              <w:rPr>
                <w:sz w:val="24"/>
                <w:szCs w:val="24"/>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3,264,450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3,264,450</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131,307</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129,915</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130,578</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130,578</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3,288,330</w:t>
            </w:r>
          </w:p>
        </w:tc>
        <w:tc>
          <w:tcPr>
            <w:tcW w:w="1720" w:type="dxa"/>
            <w:vAlign w:val="bottom"/>
          </w:tcPr>
          <w:p>
            <w:pPr>
              <w:jc w:val="right"/>
              <w:spacing w:after="0"/>
              <w:rPr>
                <w:sz w:val="20"/>
                <w:szCs w:val="20"/>
                <w:color w:val="auto"/>
              </w:rPr>
            </w:pPr>
            <w:r>
              <w:rPr>
                <w:rFonts w:ascii="Arial" w:cs="Arial" w:eastAsia="Arial" w:hAnsi="Arial"/>
                <w:sz w:val="18"/>
                <w:szCs w:val="18"/>
                <w:color w:val="auto"/>
              </w:rPr>
              <w:t>3,256,297</w:t>
            </w:r>
          </w:p>
        </w:tc>
        <w:tc>
          <w:tcPr>
            <w:tcW w:w="180" w:type="dxa"/>
            <w:vAlign w:val="bottom"/>
          </w:tcPr>
          <w:p>
            <w:pPr>
              <w:spacing w:after="0"/>
              <w:rPr>
                <w:sz w:val="24"/>
                <w:szCs w:val="24"/>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3,277,049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3,277,049</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131,533</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130,252</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131,082</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131,082</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-1748790</wp:posOffset>
            </wp:positionV>
            <wp:extent cx="72466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-1440180</wp:posOffset>
            </wp:positionV>
            <wp:extent cx="72466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-1114425</wp:posOffset>
            </wp:positionV>
            <wp:extent cx="72466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-565150</wp:posOffset>
            </wp:positionV>
            <wp:extent cx="724662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540"/>
            <w:col w:w="7460"/>
          </w:cols>
          <w:pgMar w:left="240" w:top="140" w:right="23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and share numbers, in thousands)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Additional</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20" w:type="dxa"/>
            <w:vAlign w:val="bottom"/>
            <w:gridSpan w:val="4"/>
          </w:tcPr>
          <w:p>
            <w:pPr>
              <w:jc w:val="right"/>
              <w:ind w:right="660"/>
              <w:spacing w:after="0"/>
              <w:rPr>
                <w:sz w:val="20"/>
                <w:szCs w:val="20"/>
                <w:color w:val="auto"/>
              </w:rPr>
            </w:pPr>
            <w:r>
              <w:rPr>
                <w:rFonts w:ascii="Arial" w:cs="Arial" w:eastAsia="Arial" w:hAnsi="Arial"/>
                <w:sz w:val="11"/>
                <w:szCs w:val="11"/>
                <w:b w:val="1"/>
                <w:bCs w:val="1"/>
                <w:color w:val="auto"/>
              </w:rPr>
              <w:t>Ordinary shares</w:t>
            </w: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paid-</w:t>
            </w:r>
          </w:p>
        </w:tc>
        <w:tc>
          <w:tcPr>
            <w:tcW w:w="1940" w:type="dxa"/>
            <w:vAlign w:val="bottom"/>
            <w:gridSpan w:val="4"/>
          </w:tcPr>
          <w:p>
            <w:pPr>
              <w:jc w:val="right"/>
              <w:ind w:right="720"/>
              <w:spacing w:after="0"/>
              <w:rPr>
                <w:sz w:val="20"/>
                <w:szCs w:val="20"/>
                <w:color w:val="auto"/>
              </w:rPr>
            </w:pPr>
            <w:r>
              <w:rPr>
                <w:rFonts w:ascii="Arial" w:cs="Arial" w:eastAsia="Arial" w:hAnsi="Arial"/>
                <w:sz w:val="11"/>
                <w:szCs w:val="11"/>
                <w:b w:val="1"/>
                <w:bCs w:val="1"/>
                <w:color w:val="auto"/>
              </w:rPr>
              <w:t>Treasury stock</w:t>
            </w: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Statutory</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Retained</w:t>
            </w:r>
          </w:p>
        </w:tc>
        <w:tc>
          <w:tcPr>
            <w:tcW w:w="1000" w:type="dxa"/>
            <w:vAlign w:val="bottom"/>
            <w:gridSpan w:val="2"/>
          </w:tcPr>
          <w:p>
            <w:pPr>
              <w:jc w:val="center"/>
              <w:ind w:right="95"/>
              <w:spacing w:after="0"/>
              <w:rPr>
                <w:sz w:val="20"/>
                <w:szCs w:val="20"/>
                <w:color w:val="auto"/>
              </w:rPr>
            </w:pPr>
            <w:r>
              <w:rPr>
                <w:rFonts w:ascii="Arial" w:cs="Arial" w:eastAsia="Arial" w:hAnsi="Arial"/>
                <w:sz w:val="11"/>
                <w:szCs w:val="11"/>
                <w:b w:val="1"/>
                <w:bCs w:val="1"/>
                <w:color w:val="auto"/>
                <w:w w:val="89"/>
              </w:rPr>
              <w:t>Noncontrolling</w:t>
            </w: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shareholders’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Share</w:t>
            </w:r>
          </w:p>
        </w:tc>
        <w:tc>
          <w:tcPr>
            <w:tcW w:w="800" w:type="dxa"/>
            <w:vAlign w:val="bottom"/>
            <w:tcBorders>
              <w:top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96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2"/>
              </w:rPr>
              <w:t>in capital</w:t>
            </w:r>
          </w:p>
        </w:tc>
        <w:tc>
          <w:tcPr>
            <w:tcW w:w="960" w:type="dxa"/>
            <w:vAlign w:val="bottom"/>
            <w:tcBorders>
              <w:top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Share</w:t>
            </w:r>
          </w:p>
        </w:tc>
        <w:tc>
          <w:tcPr>
            <w:tcW w:w="800" w:type="dxa"/>
            <w:vAlign w:val="bottom"/>
            <w:tcBorders>
              <w:top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96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3"/>
              </w:rPr>
              <w:t>reserves</w:t>
            </w:r>
          </w:p>
        </w:tc>
        <w:tc>
          <w:tcPr>
            <w:tcW w:w="9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2"/>
              </w:rPr>
              <w:t>earnings</w:t>
            </w:r>
          </w:p>
        </w:tc>
        <w:tc>
          <w:tcPr>
            <w:tcW w:w="1000" w:type="dxa"/>
            <w:vAlign w:val="bottom"/>
            <w:gridSpan w:val="2"/>
          </w:tcPr>
          <w:p>
            <w:pPr>
              <w:jc w:val="center"/>
              <w:ind w:right="95"/>
              <w:spacing w:after="0" w:line="115" w:lineRule="exact"/>
              <w:rPr>
                <w:sz w:val="20"/>
                <w:szCs w:val="20"/>
                <w:color w:val="auto"/>
              </w:rPr>
            </w:pPr>
            <w:r>
              <w:rPr>
                <w:rFonts w:ascii="Arial" w:cs="Arial" w:eastAsia="Arial" w:hAnsi="Arial"/>
                <w:sz w:val="11"/>
                <w:szCs w:val="11"/>
                <w:b w:val="1"/>
                <w:bCs w:val="1"/>
                <w:color w:val="auto"/>
                <w:w w:val="82"/>
              </w:rPr>
              <w:t>interests</w:t>
            </w:r>
          </w:p>
        </w:tc>
        <w:tc>
          <w:tcPr>
            <w:tcW w:w="940" w:type="dxa"/>
            <w:vAlign w:val="bottom"/>
            <w:gridSpan w:val="3"/>
          </w:tcPr>
          <w:p>
            <w:pPr>
              <w:jc w:val="center"/>
              <w:ind w:right="100"/>
              <w:spacing w:after="0" w:line="115" w:lineRule="exact"/>
              <w:rPr>
                <w:sz w:val="20"/>
                <w:szCs w:val="20"/>
                <w:color w:val="auto"/>
              </w:rPr>
            </w:pPr>
            <w:r>
              <w:rPr>
                <w:rFonts w:ascii="Arial" w:cs="Arial" w:eastAsia="Arial" w:hAnsi="Arial"/>
                <w:sz w:val="11"/>
                <w:szCs w:val="11"/>
                <w:b w:val="1"/>
                <w:bCs w:val="1"/>
                <w:color w:val="auto"/>
                <w:w w:val="86"/>
              </w:rPr>
              <w:t>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RMB</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RMB</w:t>
            </w: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RMB</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RMB</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1"/>
                <w:szCs w:val="11"/>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RMB</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as of December 31, 2011</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3,273,937</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2,687</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1,002,336</w:t>
            </w: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472,586</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11,649,092</w:t>
            </w:r>
          </w:p>
        </w:tc>
        <w:tc>
          <w:tcPr>
            <w:tcW w:w="1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55"/>
              <w:spacing w:after="0" w:line="122" w:lineRule="exact"/>
              <w:rPr>
                <w:sz w:val="20"/>
                <w:szCs w:val="20"/>
                <w:color w:val="auto"/>
              </w:rPr>
            </w:pPr>
            <w:r>
              <w:rPr>
                <w:rFonts w:ascii="Arial" w:cs="Arial" w:eastAsia="Arial" w:hAnsi="Arial"/>
                <w:sz w:val="11"/>
                <w:szCs w:val="11"/>
                <w:color w:val="auto"/>
              </w:rPr>
              <w:t>(28,237)</w:t>
            </w:r>
          </w:p>
        </w:tc>
        <w:tc>
          <w:tcPr>
            <w:tcW w:w="8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13,098,464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line="112" w:lineRule="exact"/>
              <w:rPr>
                <w:sz w:val="20"/>
                <w:szCs w:val="20"/>
                <w:color w:val="auto"/>
              </w:rPr>
            </w:pPr>
            <w:r>
              <w:rPr>
                <w:rFonts w:ascii="Arial" w:cs="Arial" w:eastAsia="Arial" w:hAnsi="Arial"/>
                <w:sz w:val="11"/>
                <w:szCs w:val="11"/>
                <w:color w:val="auto"/>
                <w:w w:val="98"/>
              </w:rPr>
              <w:t>Ordinary shares issued upon exercise of employee stock</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ind w:left="160"/>
              <w:spacing w:after="0"/>
              <w:rPr>
                <w:sz w:val="20"/>
                <w:szCs w:val="20"/>
                <w:color w:val="auto"/>
              </w:rPr>
            </w:pPr>
            <w:r>
              <w:rPr>
                <w:rFonts w:ascii="Arial" w:cs="Arial" w:eastAsia="Arial" w:hAnsi="Arial"/>
                <w:sz w:val="11"/>
                <w:szCs w:val="11"/>
                <w:color w:val="auto"/>
              </w:rPr>
              <w:t>options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4,929</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3</w:t>
            </w:r>
          </w:p>
        </w:tc>
        <w:tc>
          <w:tcPr>
            <w:tcW w:w="800" w:type="dxa"/>
            <w:vAlign w:val="bottom"/>
          </w:tcPr>
          <w:p>
            <w:pPr>
              <w:jc w:val="right"/>
              <w:spacing w:after="0"/>
              <w:rPr>
                <w:sz w:val="20"/>
                <w:szCs w:val="20"/>
                <w:color w:val="auto"/>
              </w:rPr>
            </w:pPr>
            <w:r>
              <w:rPr>
                <w:rFonts w:ascii="Arial" w:cs="Arial" w:eastAsia="Arial" w:hAnsi="Arial"/>
                <w:sz w:val="11"/>
                <w:szCs w:val="11"/>
                <w:color w:val="auto"/>
              </w:rPr>
              <w:t>24,709</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24,712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5"/>
              </w:rPr>
              <w:t>Ordinary shares issued upon settlement of restricted share</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units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8,680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Share-based compensation</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129,642</w:t>
            </w:r>
          </w:p>
        </w:tc>
        <w:tc>
          <w:tcPr>
            <w:tcW w:w="160" w:type="dxa"/>
            <w:vAlign w:val="bottom"/>
          </w:tcPr>
          <w:p>
            <w:pPr>
              <w:spacing w:after="0"/>
              <w:rPr>
                <w:sz w:val="10"/>
                <w:szCs w:val="10"/>
                <w:color w:val="auto"/>
              </w:rPr>
            </w:pP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129,642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Appropriation to statutory reserves</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161,522</w:t>
            </w:r>
          </w:p>
        </w:tc>
        <w:tc>
          <w:tcPr>
            <w:tcW w:w="1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(161,522)</w:t>
            </w:r>
          </w:p>
        </w:tc>
        <w:tc>
          <w:tcPr>
            <w:tcW w:w="100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line="112" w:lineRule="exact"/>
              <w:rPr>
                <w:sz w:val="20"/>
                <w:szCs w:val="20"/>
                <w:color w:val="auto"/>
              </w:rPr>
            </w:pPr>
            <w:r>
              <w:rPr>
                <w:rFonts w:ascii="Arial" w:cs="Arial" w:eastAsia="Arial" w:hAnsi="Arial"/>
                <w:sz w:val="11"/>
                <w:szCs w:val="11"/>
                <w:color w:val="auto"/>
                <w:w w:val="94"/>
              </w:rPr>
              <w:t>Net income attributable to NetEase, Inc. and noncontrolling</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ind w:left="160"/>
              <w:spacing w:after="0"/>
              <w:rPr>
                <w:sz w:val="20"/>
                <w:szCs w:val="20"/>
                <w:color w:val="auto"/>
              </w:rPr>
            </w:pPr>
            <w:r>
              <w:rPr>
                <w:rFonts w:ascii="Arial" w:cs="Arial" w:eastAsia="Arial" w:hAnsi="Arial"/>
                <w:sz w:val="11"/>
                <w:szCs w:val="11"/>
                <w:color w:val="auto"/>
              </w:rPr>
              <w:t>interest shareholders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3,637,452</w:t>
            </w:r>
          </w:p>
        </w:tc>
        <w:tc>
          <w:tcPr>
            <w:tcW w:w="120" w:type="dxa"/>
            <w:vAlign w:val="bottom"/>
          </w:tcPr>
          <w:p>
            <w:pPr>
              <w:spacing w:after="0"/>
              <w:rPr>
                <w:sz w:val="11"/>
                <w:szCs w:val="11"/>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1"/>
                <w:szCs w:val="11"/>
                <w:color w:val="auto"/>
              </w:rPr>
              <w:t>(50,882)</w:t>
            </w: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3,586,570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Repurchase of shares</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(41,504)</w:t>
            </w: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(422,489)</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(422,489)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Dividend to shareholders</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(815,413)</w:t>
            </w:r>
          </w:p>
        </w:tc>
        <w:tc>
          <w:tcPr>
            <w:tcW w:w="100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(815,413)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as of December 31, 2012</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3,287,546</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2,696</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1,156,681</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(41,504)</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(422,489)</w:t>
            </w: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634,108</w:t>
            </w: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14,309,609</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(79,119)</w:t>
            </w: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15,601,486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40" w:type="dxa"/>
            <w:vAlign w:val="bottom"/>
          </w:tcPr>
          <w:p>
            <w:pPr>
              <w:spacing w:after="0" w:line="92" w:lineRule="exact"/>
              <w:rPr>
                <w:sz w:val="20"/>
                <w:szCs w:val="20"/>
                <w:color w:val="auto"/>
              </w:rPr>
            </w:pPr>
            <w:r>
              <w:rPr>
                <w:rFonts w:ascii="Arial" w:cs="Arial" w:eastAsia="Arial" w:hAnsi="Arial"/>
                <w:sz w:val="10"/>
                <w:szCs w:val="10"/>
                <w:color w:val="auto"/>
              </w:rPr>
              <w:t>Ordinary shares issued upon exercise of employee stock</w:t>
            </w: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ind w:left="160"/>
              <w:spacing w:after="0"/>
              <w:rPr>
                <w:sz w:val="20"/>
                <w:szCs w:val="20"/>
                <w:color w:val="auto"/>
              </w:rPr>
            </w:pPr>
            <w:r>
              <w:rPr>
                <w:rFonts w:ascii="Arial" w:cs="Arial" w:eastAsia="Arial" w:hAnsi="Arial"/>
                <w:sz w:val="11"/>
                <w:szCs w:val="11"/>
                <w:color w:val="auto"/>
              </w:rPr>
              <w:t>options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240</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2,474</w:t>
            </w:r>
          </w:p>
        </w:tc>
        <w:tc>
          <w:tcPr>
            <w:tcW w:w="1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2,474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5"/>
              </w:rPr>
              <w:t>Ordinary shares issued upon settlement of restricted share</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units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13,083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Share-based compensation</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217,431</w:t>
            </w:r>
          </w:p>
        </w:tc>
        <w:tc>
          <w:tcPr>
            <w:tcW w:w="160" w:type="dxa"/>
            <w:vAlign w:val="bottom"/>
          </w:tcPr>
          <w:p>
            <w:pPr>
              <w:spacing w:after="0"/>
              <w:rPr>
                <w:sz w:val="10"/>
                <w:szCs w:val="10"/>
                <w:color w:val="auto"/>
              </w:rPr>
            </w:pP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217,431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Appropriation to statutory reserves</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244,358</w:t>
            </w:r>
          </w:p>
        </w:tc>
        <w:tc>
          <w:tcPr>
            <w:tcW w:w="1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(244,358)</w:t>
            </w:r>
          </w:p>
        </w:tc>
        <w:tc>
          <w:tcPr>
            <w:tcW w:w="100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line="112" w:lineRule="exact"/>
              <w:rPr>
                <w:sz w:val="20"/>
                <w:szCs w:val="20"/>
                <w:color w:val="auto"/>
              </w:rPr>
            </w:pPr>
            <w:r>
              <w:rPr>
                <w:rFonts w:ascii="Arial" w:cs="Arial" w:eastAsia="Arial" w:hAnsi="Arial"/>
                <w:sz w:val="11"/>
                <w:szCs w:val="11"/>
                <w:color w:val="auto"/>
                <w:w w:val="94"/>
              </w:rPr>
              <w:t>Net income attributable to NetEase, Inc. and noncontrolling</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ind w:left="160"/>
              <w:spacing w:after="0"/>
              <w:rPr>
                <w:sz w:val="20"/>
                <w:szCs w:val="20"/>
                <w:color w:val="auto"/>
              </w:rPr>
            </w:pPr>
            <w:r>
              <w:rPr>
                <w:rFonts w:ascii="Arial" w:cs="Arial" w:eastAsia="Arial" w:hAnsi="Arial"/>
                <w:sz w:val="11"/>
                <w:szCs w:val="11"/>
                <w:color w:val="auto"/>
              </w:rPr>
              <w:t>interest shareholders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4,443,910</w:t>
            </w:r>
          </w:p>
        </w:tc>
        <w:tc>
          <w:tcPr>
            <w:tcW w:w="120" w:type="dxa"/>
            <w:vAlign w:val="bottom"/>
          </w:tcPr>
          <w:p>
            <w:pPr>
              <w:spacing w:after="0"/>
              <w:rPr>
                <w:sz w:val="11"/>
                <w:szCs w:val="11"/>
                <w:color w:val="auto"/>
              </w:rPr>
            </w:pPr>
          </w:p>
        </w:tc>
        <w:tc>
          <w:tcPr>
            <w:tcW w:w="1000" w:type="dxa"/>
            <w:vAlign w:val="bottom"/>
            <w:gridSpan w:val="2"/>
          </w:tcPr>
          <w:p>
            <w:pPr>
              <w:jc w:val="right"/>
              <w:ind w:right="75"/>
              <w:spacing w:after="0"/>
              <w:rPr>
                <w:sz w:val="20"/>
                <w:szCs w:val="20"/>
                <w:color w:val="auto"/>
              </w:rPr>
            </w:pPr>
            <w:r>
              <w:rPr>
                <w:rFonts w:ascii="Arial" w:cs="Arial" w:eastAsia="Arial" w:hAnsi="Arial"/>
                <w:sz w:val="11"/>
                <w:szCs w:val="11"/>
                <w:color w:val="auto"/>
              </w:rPr>
              <w:t>1,308</w:t>
            </w: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4,445,218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Repurchase of shares</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(9,081)</w:t>
            </w: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(99,262)</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(99,262)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Cancellation of treasury stock</w:t>
            </w: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(50,585)</w:t>
            </w: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(41)</w:t>
            </w: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(521,710)</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50,585</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521,751</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6"/>
              </w:rPr>
              <w:t>Capital injection in a subsidiary by noncontrolling interests</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shareholders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906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916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4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Balance as of December 31, 2013</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3,250,284</w:t>
            </w:r>
          </w:p>
        </w:tc>
        <w:tc>
          <w:tcPr>
            <w:tcW w:w="16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2,663</w:t>
            </w:r>
          </w:p>
        </w:tc>
        <w:tc>
          <w:tcPr>
            <w:tcW w:w="16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854,878</w:t>
            </w:r>
          </w:p>
        </w:tc>
        <w:tc>
          <w:tcPr>
            <w:tcW w:w="16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878,466</w:t>
            </w:r>
          </w:p>
        </w:tc>
        <w:tc>
          <w:tcPr>
            <w:tcW w:w="16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18,509,161</w:t>
            </w:r>
          </w:p>
        </w:tc>
        <w:tc>
          <w:tcPr>
            <w:tcW w:w="12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(76,905)</w:t>
            </w:r>
          </w:p>
        </w:tc>
        <w:tc>
          <w:tcPr>
            <w:tcW w:w="8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20,168,263</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Ordinary shares issued upon exercise of employee stock</w:t>
            </w: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2,917</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2,917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line="112" w:lineRule="exact"/>
              <w:rPr>
                <w:sz w:val="20"/>
                <w:szCs w:val="20"/>
                <w:color w:val="auto"/>
              </w:rPr>
            </w:pPr>
            <w:r>
              <w:rPr>
                <w:rFonts w:ascii="Arial" w:cs="Arial" w:eastAsia="Arial" w:hAnsi="Arial"/>
                <w:sz w:val="11"/>
                <w:szCs w:val="11"/>
                <w:color w:val="auto"/>
                <w:w w:val="95"/>
              </w:rPr>
              <w:t>Ordinary shares issued upon settlement of restricted share</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ind w:left="160"/>
              <w:spacing w:after="0"/>
              <w:rPr>
                <w:sz w:val="20"/>
                <w:szCs w:val="20"/>
                <w:color w:val="auto"/>
              </w:rPr>
            </w:pPr>
            <w:r>
              <w:rPr>
                <w:rFonts w:ascii="Arial" w:cs="Arial" w:eastAsia="Arial" w:hAnsi="Arial"/>
                <w:sz w:val="11"/>
                <w:szCs w:val="11"/>
                <w:color w:val="auto"/>
              </w:rPr>
              <w:t>units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17,450</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11</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(11)</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75"/>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Share-based compensation</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368,632</w:t>
            </w: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368,632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Appropriation to statutory reserves</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58,816</w:t>
            </w:r>
          </w:p>
        </w:tc>
        <w:tc>
          <w:tcPr>
            <w:tcW w:w="160" w:type="dxa"/>
            <w:vAlign w:val="bottom"/>
          </w:tcPr>
          <w:p>
            <w:pPr>
              <w:spacing w:after="0"/>
              <w:rPr>
                <w:sz w:val="10"/>
                <w:szCs w:val="10"/>
                <w:color w:val="auto"/>
              </w:rPr>
            </w:pPr>
          </w:p>
        </w:tc>
        <w:tc>
          <w:tcPr>
            <w:tcW w:w="9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(58,816)</w:t>
            </w:r>
          </w:p>
        </w:tc>
        <w:tc>
          <w:tcPr>
            <w:tcW w:w="1000" w:type="dxa"/>
            <w:vAlign w:val="bottom"/>
            <w:gridSpan w:val="2"/>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4"/>
              </w:rPr>
              <w:t>Net income attributable to NetEase, Inc. and noncontrolling</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interest shareholders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4,756,623</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35,813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4,792,436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line="112" w:lineRule="exact"/>
              <w:rPr>
                <w:sz w:val="20"/>
                <w:szCs w:val="20"/>
                <w:color w:val="auto"/>
              </w:rPr>
            </w:pPr>
            <w:r>
              <w:rPr>
                <w:rFonts w:ascii="Arial" w:cs="Arial" w:eastAsia="Arial" w:hAnsi="Arial"/>
                <w:sz w:val="11"/>
                <w:szCs w:val="11"/>
                <w:color w:val="auto"/>
                <w:w w:val="96"/>
              </w:rPr>
              <w:t>Capital injection in subsidiaries by noncontrolling interests</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40" w:type="dxa"/>
            <w:vAlign w:val="bottom"/>
          </w:tcPr>
          <w:p>
            <w:pPr>
              <w:ind w:left="160"/>
              <w:spacing w:after="0"/>
              <w:rPr>
                <w:sz w:val="20"/>
                <w:szCs w:val="20"/>
                <w:color w:val="auto"/>
              </w:rPr>
            </w:pPr>
            <w:r>
              <w:rPr>
                <w:rFonts w:ascii="Arial" w:cs="Arial" w:eastAsia="Arial" w:hAnsi="Arial"/>
                <w:sz w:val="11"/>
                <w:szCs w:val="11"/>
                <w:color w:val="auto"/>
              </w:rPr>
              <w:t>shareholders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1"/>
                <w:szCs w:val="11"/>
                <w:color w:val="auto"/>
              </w:rPr>
            </w:pPr>
          </w:p>
        </w:tc>
        <w:tc>
          <w:tcPr>
            <w:tcW w:w="1000" w:type="dxa"/>
            <w:vAlign w:val="bottom"/>
            <w:gridSpan w:val="2"/>
          </w:tcPr>
          <w:p>
            <w:pPr>
              <w:jc w:val="right"/>
              <w:ind w:right="75"/>
              <w:spacing w:after="0"/>
              <w:rPr>
                <w:sz w:val="20"/>
                <w:szCs w:val="20"/>
                <w:color w:val="auto"/>
              </w:rPr>
            </w:pPr>
            <w:r>
              <w:rPr>
                <w:rFonts w:ascii="Arial" w:cs="Arial" w:eastAsia="Arial" w:hAnsi="Arial"/>
                <w:sz w:val="11"/>
                <w:szCs w:val="11"/>
                <w:color w:val="auto"/>
              </w:rPr>
              <w:t>8,907</w:t>
            </w: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8,922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Dividend to shareholders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(1,983,010)</w:t>
            </w:r>
          </w:p>
        </w:tc>
        <w:tc>
          <w:tcPr>
            <w:tcW w:w="1000" w:type="dxa"/>
            <w:vAlign w:val="bottom"/>
            <w:gridSpan w:val="2"/>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(1,983,010)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tcPr>
          <w:p>
            <w:pPr>
              <w:spacing w:after="0"/>
              <w:rPr>
                <w:sz w:val="20"/>
                <w:szCs w:val="20"/>
                <w:color w:val="auto"/>
              </w:rPr>
            </w:pPr>
            <w:r>
              <w:rPr>
                <w:rFonts w:ascii="Arial" w:cs="Arial" w:eastAsia="Arial" w:hAnsi="Arial"/>
                <w:sz w:val="11"/>
                <w:szCs w:val="11"/>
                <w:color w:val="auto"/>
              </w:rPr>
              <w:t>Balance as of December 31, 2014</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ind w:right="55"/>
              <w:spacing w:after="0"/>
              <w:rPr>
                <w:sz w:val="20"/>
                <w:szCs w:val="20"/>
                <w:color w:val="auto"/>
              </w:rPr>
            </w:pPr>
            <w:r>
              <w:rPr>
                <w:rFonts w:ascii="Arial" w:cs="Arial" w:eastAsia="Arial" w:hAnsi="Arial"/>
                <w:sz w:val="1"/>
                <w:szCs w:val="1"/>
                <w:color w:val="auto"/>
                <w:w w:val="4294967281"/>
              </w:rPr>
              <w:t>)</w:t>
            </w: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3,268,019</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2,674</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1,226,416</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937,282</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21,223,973</w:t>
            </w: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(32,185</w:t>
            </w:r>
          </w:p>
        </w:tc>
        <w:tc>
          <w:tcPr>
            <w:tcW w:w="80" w:type="dxa"/>
            <w:vAlign w:val="bottom"/>
            <w:vMerge w:val="continue"/>
          </w:tcPr>
          <w:p>
            <w:pPr>
              <w:spacing w:after="0"/>
              <w:rPr>
                <w:sz w:val="11"/>
                <w:szCs w:val="1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23,358,160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ectPr>
          <w:pgSz w:w="11900" w:h="16838" w:orient="portrait"/>
          <w:cols w:equalWidth="0" w:num="1">
            <w:col w:w="11420"/>
          </w:cols>
          <w:pgMar w:left="240" w:top="140" w:right="239" w:bottom="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Consolidated Statements of Cash Flows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For the year ended December 31,</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8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8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493"/>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480" w:type="dxa"/>
            <w:vAlign w:val="bottom"/>
          </w:tcPr>
          <w:p>
            <w:pPr>
              <w:jc w:val="right"/>
              <w:ind w:right="491"/>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480" w:type="dxa"/>
            <w:vAlign w:val="bottom"/>
          </w:tcPr>
          <w:p>
            <w:pPr>
              <w:jc w:val="right"/>
              <w:ind w:right="49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480" w:type="dxa"/>
            <w:vAlign w:val="bottom"/>
          </w:tcPr>
          <w:p>
            <w:pPr>
              <w:jc w:val="right"/>
              <w:ind w:right="53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3,586,570</w:t>
            </w:r>
          </w:p>
        </w:tc>
        <w:tc>
          <w:tcPr>
            <w:tcW w:w="1480" w:type="dxa"/>
            <w:vAlign w:val="bottom"/>
          </w:tcPr>
          <w:p>
            <w:pPr>
              <w:jc w:val="right"/>
              <w:spacing w:after="0"/>
              <w:rPr>
                <w:sz w:val="20"/>
                <w:szCs w:val="20"/>
                <w:color w:val="auto"/>
              </w:rPr>
            </w:pPr>
            <w:r>
              <w:rPr>
                <w:rFonts w:ascii="Arial" w:cs="Arial" w:eastAsia="Arial" w:hAnsi="Arial"/>
                <w:sz w:val="18"/>
                <w:szCs w:val="18"/>
                <w:color w:val="auto"/>
              </w:rPr>
              <w:t>4,445,218</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4,795,705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772,927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Adjustments to reconcile net income to net cash provided</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by operating activities:</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233,509</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158,363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174,462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Investment impairment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24,040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Share-based compensation cost</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203,018</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306,308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349,277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Allowance for/(reversal of) provision for doubtful</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3,088</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(2,007)</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700"/>
              <w:spacing w:after="0" w:line="201" w:lineRule="exact"/>
              <w:rPr>
                <w:sz w:val="20"/>
                <w:szCs w:val="20"/>
                <w:color w:val="auto"/>
              </w:rPr>
            </w:pPr>
            <w:r>
              <w:rPr>
                <w:rFonts w:ascii="Arial" w:cs="Arial" w:eastAsia="Arial" w:hAnsi="Arial"/>
                <w:sz w:val="18"/>
                <w:szCs w:val="18"/>
                <w:color w:val="auto"/>
                <w:w w:val="98"/>
              </w:rPr>
              <w:t>(Gain)/loss on disposal of property, equipment and</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Arial" w:cs="Arial" w:eastAsia="Arial" w:hAnsi="Arial"/>
                <w:sz w:val="18"/>
                <w:szCs w:val="18"/>
                <w:color w:val="auto"/>
              </w:rPr>
              <w:t>software</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1,507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exchange (gains)/ losses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(5,665)</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12,266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(31,568)</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142,283</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(117,342)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Net equity share of (income)/losses from associated</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companies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48,955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Fair value changes of short-term investments</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21,758</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12,355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(64,249)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(70,318)</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(131,030)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(474,381)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Prepayments and other current assets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(68,833)</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(21,933)</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(292,416)</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43,168</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70,959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190,453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Salary and welfare payables</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45,434</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87,269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157,448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Taxes payable</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(34,449)</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(315,001)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259,828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revenue</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145,946</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321,018</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486,744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Accrued liabilities and other payables</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153,516</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145,010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310,463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4,224,290</w:t>
            </w: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5,235,890</w:t>
            </w: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5,873,023</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Purchase of property, equipment and software</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(178,654)</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(218,936)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(537,376)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Proceeds from sale of property, equipment and software</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777</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Purchase of other intangible assets</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(14,011)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of land use right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(66,957)</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520"/>
              <w:spacing w:after="0" w:line="201" w:lineRule="exact"/>
              <w:rPr>
                <w:sz w:val="20"/>
                <w:szCs w:val="20"/>
                <w:color w:val="auto"/>
              </w:rPr>
            </w:pPr>
            <w:r>
              <w:rPr>
                <w:rFonts w:ascii="Arial" w:cs="Arial" w:eastAsia="Arial" w:hAnsi="Arial"/>
                <w:sz w:val="18"/>
                <w:szCs w:val="18"/>
                <w:color w:val="auto"/>
                <w:w w:val="91"/>
              </w:rPr>
              <w:t>Net change of short-term investments with terms of three</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months or less</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(120,000)</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(480,000)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247,406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of short-term investments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(1,101,691)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(400,000)</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(2,358,122)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Proceeds from maturities of short-term investments</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1,120,000</w:t>
            </w:r>
          </w:p>
        </w:tc>
        <w:tc>
          <w:tcPr>
            <w:tcW w:w="1480" w:type="dxa"/>
            <w:vAlign w:val="bottom"/>
          </w:tcPr>
          <w:p>
            <w:pPr>
              <w:jc w:val="right"/>
              <w:spacing w:after="0"/>
              <w:rPr>
                <w:sz w:val="20"/>
                <w:szCs w:val="20"/>
                <w:color w:val="auto"/>
              </w:rPr>
            </w:pPr>
            <w:r>
              <w:rPr>
                <w:rFonts w:ascii="Arial" w:cs="Arial" w:eastAsia="Arial" w:hAnsi="Arial"/>
                <w:sz w:val="18"/>
                <w:szCs w:val="18"/>
                <w:color w:val="auto"/>
              </w:rPr>
              <w:t>1,040,000</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1,017,596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164,007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Investment in an associated company</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Transfer to restricted cash</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(251,822)</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(1,566,244)</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(492,149)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(79,320)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Placement/rollover of matured time deposits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(19,204,499)</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(21,807,617)</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(21,955,012)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Proceeds from maturity of time deposits</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15,326,801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18,231,797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19,905,004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3,208,104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change in other assets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(44,918)</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(55,895)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(248,008)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(4,454,038)</w:t>
            </w: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(5,453,279)</w:t>
            </w: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(4,520,166)</w:t>
            </w:r>
          </w:p>
        </w:tc>
        <w:tc>
          <w:tcPr>
            <w:tcW w:w="1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of short-term bank loan</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1,005,680</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2,046,669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Payment of short-term bank loan</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(975,504)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employees exercising stock options</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24,712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2,474</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Dividends paid to shareholders</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(815,413)</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(1,983,010)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(319,603)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Capital contribution from mezzanine classified</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noncontrolling interests shareholders</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130,365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520"/>
              <w:spacing w:after="0" w:line="201" w:lineRule="exact"/>
              <w:rPr>
                <w:sz w:val="20"/>
                <w:szCs w:val="20"/>
                <w:color w:val="auto"/>
              </w:rPr>
            </w:pPr>
            <w:r>
              <w:rPr>
                <w:rFonts w:ascii="Arial" w:cs="Arial" w:eastAsia="Arial" w:hAnsi="Arial"/>
                <w:sz w:val="18"/>
                <w:szCs w:val="18"/>
                <w:color w:val="auto"/>
              </w:rPr>
              <w:t>Capital injection from noncontrolling interest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shareholders</w:t>
            </w:r>
          </w:p>
        </w:tc>
        <w:tc>
          <w:tcPr>
            <w:tcW w:w="16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916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Repurchase of shares</w:t>
            </w: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(414,942)</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(106,809)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in)/provided by financing activities</w:t>
            </w: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(390,230)</w:t>
            </w: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86,848</w:t>
            </w: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(778,442)</w:t>
            </w:r>
          </w:p>
        </w:tc>
        <w:tc>
          <w:tcPr>
            <w:tcW w:w="1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Effect of exchange rate changes on cash held in foreign</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b w:val="1"/>
                <w:bCs w:val="1"/>
                <w:color w:val="auto"/>
              </w:rPr>
              <w:t>currencies</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(3,871)</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(1,930)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(11,260)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(623,849)</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(132,471)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563,155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90,764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the year</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2,214,618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1,590,769</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1,458,298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1,458,298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2,021,453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Cash paid for income taxes, net of tax refund</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683,609</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687,454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551,303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88,854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Supplemental schedule of non-cash investing and financing</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Share repurchase financed by accounts payable</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7,547</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 payable</w:t>
            </w:r>
          </w:p>
        </w:tc>
        <w:tc>
          <w:tcPr>
            <w:tcW w:w="1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814,934</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w w:val="98"/>
              </w:rPr>
              <w:t>Fixed asset purchases financed by accounts payable</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7,228</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10,071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80,575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7"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Renminbi (“RMB”), unless otherwise stated)</w:t>
      </w:r>
    </w:p>
    <w:p>
      <w:pPr>
        <w:spacing w:after="0" w:line="207"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22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The Group</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NetEase.com, Inc. was incorporated in the Cayman Islands on July 6, 1999 and changed its name to “NetEase, Inc.” (the “Company”) with effect from March 29, 2012. The Company has been listed on the Nasdaq National Market (now the Nasdaq Global Select Market) in the United States of America since July 2000. As of December 31, 2014, the Company has wholly-owned and majority-owned subsidiaries incorporated in countries and jurisdictions including the People’s Republic of China (“PRC”), Hong Kong, the United States of America (“USA”), Cayman Islands and British Virgin Islands (“BVI”). As of December 31, 2014, the Company also effectively controls a number of variable interest entities (“VIEs”) for which the Company is the primary beneficiary. The Company, its subsidiaries and VIEs are hereinafter collectively referred to as the “Group” or the “Company”. The major subsidiaries and VIEs through which the Company conducts its business operations as of December 31, 2014 are described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Major Subsidiaries</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Place and year of</w:t>
            </w:r>
          </w:p>
        </w:tc>
        <w:tc>
          <w:tcPr>
            <w:tcW w:w="0" w:type="dxa"/>
            <w:vAlign w:val="bottom"/>
          </w:tcPr>
          <w:p>
            <w:pPr>
              <w:spacing w:after="0"/>
              <w:rPr>
                <w:sz w:val="1"/>
                <w:szCs w:val="1"/>
                <w:color w:val="auto"/>
              </w:rPr>
            </w:pPr>
          </w:p>
        </w:tc>
      </w:tr>
      <w:tr>
        <w:trPr>
          <w:trHeight w:val="171"/>
        </w:trPr>
        <w:tc>
          <w:tcPr>
            <w:tcW w:w="9020" w:type="dxa"/>
            <w:vAlign w:val="bottom"/>
            <w:gridSpan w:val="3"/>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NetEase Information Technology (Beijing) Co., Ltd. (“NetEase Beijing”)</w:t>
            </w:r>
          </w:p>
        </w:tc>
        <w:tc>
          <w:tcPr>
            <w:tcW w:w="16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Beijing, China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Guangzhou Boguan Telecommunication Technology Co., Ltd. (“Boguan”)</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Guangzhou,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NetEase Youdao Information Technology (Beijing) Co., Ltd. (“Youdao Information”)</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Beijing,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NetEase (Hangzhou) Network Co., Ltd. (“NetEase Hangzhou”)</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Hangzhou,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Hangzhou Langhe Technology Co., Ltd. (“Hangzhou Langhe”)</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Hangzhou,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Lede Technology Co., Ltd. (“Lede Technology”)</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Hangzhou,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NetEase Media Technology (Beijing) Co., Ltd.(“Media Beijing”)</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Beijing,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Major VIEs</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Place and year of</w:t>
            </w:r>
          </w:p>
        </w:tc>
        <w:tc>
          <w:tcPr>
            <w:tcW w:w="0" w:type="dxa"/>
            <w:vAlign w:val="bottom"/>
          </w:tcPr>
          <w:p>
            <w:pPr>
              <w:spacing w:after="0"/>
              <w:rPr>
                <w:sz w:val="1"/>
                <w:szCs w:val="1"/>
                <w:color w:val="auto"/>
              </w:rPr>
            </w:pPr>
          </w:p>
        </w:tc>
      </w:tr>
      <w:tr>
        <w:trPr>
          <w:trHeight w:val="171"/>
        </w:trPr>
        <w:tc>
          <w:tcPr>
            <w:tcW w:w="9020" w:type="dxa"/>
            <w:vAlign w:val="bottom"/>
            <w:gridSpan w:val="3"/>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Guangzhou NetEase Computer System Co., Ltd. (“Guangzhou NetEase”)</w:t>
            </w:r>
          </w:p>
        </w:tc>
        <w:tc>
          <w:tcPr>
            <w:tcW w:w="16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Guangzhou, China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Guangyitong Advertising Co., Ltd. (“Guangyitong Advertising”)</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Beijing,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EaseNet Network Technology Co., Ltd. (“Shanghai EaseNet”)</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StormNet Information Technology (Hong Kong) Limited (“StormNet IT HK”)</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Hong Kong,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StormNet Information Technology (Shanghai) Co., Ltd. (“StormNet IT SH”)</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Hangzhou NetEase Leihuo Network Co., Ltd. (“HZ Leihuo”)</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Hangzhou,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Wangyibao Co., Ltd. (“Wangyibao Company”)</w:t>
            </w:r>
          </w:p>
        </w:tc>
        <w:tc>
          <w:tcPr>
            <w:tcW w:w="24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Hangzhou,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Guangzhou NetEase, one principal VIE of the Company, was incorporated in June 1997 in China and owned by William Lei Ding, the Company’s Chief Executive Officer, director and major shareholder, and another Chinese employee of the Company. It is responsible for providing online games, e-mail and other value-added telecommunication services.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Guangyitong Advertising, owned by Guangzhou NetEase and William Lei Ding, was incorporated in November 1999 in China. Guangyitong Advertising operates the Company’s portal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7"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HZ Leihuo was incorporated in April 2009 in China by two Chinese employees of the Company and currently operates the Company’s mobile game business.</w:t>
      </w:r>
    </w:p>
    <w:p>
      <w:pPr>
        <w:spacing w:after="0" w:line="24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Wangyibao Company was incorporated in July 2010 in China as a wholly-owned subsidiary of Guangzhou NetEase for the purpose of operating the Wangyibao online payment platform of the Company to facilitate e-payments by online game or other services customers to the Company.</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Shanghai EaseNet is a PRC company owned by William Lei Ding, and has contractual arrangements with the joint venture established between, and owned equally by, Blizzard Entertainment, Inc. (“Blizzard”) and the Company, and with the Company. The joint venture was established concurrently with the licensing of certain online games in August 2008 and provides technical services to Shanghai EaseNet. The joint venture currently consists of two companies, StormNet IT HK and its wholly-owned subsidiary StormNet IT SH.</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combined financial information of the Group’s VIEs was included in the accompanying consolidated financial statements of the Group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2,616,962</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liabilities</w:t>
            </w: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2,624,377</w:t>
            </w:r>
          </w:p>
        </w:tc>
        <w:tc>
          <w:tcPr>
            <w:tcW w:w="16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3,304,133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1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8,264,780</w:t>
            </w:r>
          </w:p>
        </w:tc>
        <w:tc>
          <w:tcPr>
            <w:tcW w:w="16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9,263,978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11,293,218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(loss)/income</w:t>
            </w:r>
          </w:p>
        </w:tc>
        <w:tc>
          <w:tcPr>
            <w:tcW w:w="1880" w:type="dxa"/>
            <w:vAlign w:val="bottom"/>
            <w:gridSpan w:val="2"/>
          </w:tcPr>
          <w:p>
            <w:pPr>
              <w:jc w:val="right"/>
              <w:ind w:right="28"/>
              <w:spacing w:after="0"/>
              <w:rPr>
                <w:sz w:val="20"/>
                <w:szCs w:val="20"/>
                <w:color w:val="auto"/>
              </w:rPr>
            </w:pPr>
            <w:r>
              <w:rPr>
                <w:rFonts w:ascii="Arial" w:cs="Arial" w:eastAsia="Arial" w:hAnsi="Arial"/>
                <w:sz w:val="18"/>
                <w:szCs w:val="18"/>
                <w:color w:val="auto"/>
              </w:rPr>
              <w:t>(134,519)</w:t>
            </w:r>
          </w:p>
        </w:tc>
        <w:tc>
          <w:tcPr>
            <w:tcW w:w="1900" w:type="dxa"/>
            <w:vAlign w:val="bottom"/>
            <w:gridSpan w:val="4"/>
          </w:tcPr>
          <w:p>
            <w:pPr>
              <w:jc w:val="right"/>
              <w:ind w:right="120"/>
              <w:spacing w:after="0"/>
              <w:rPr>
                <w:sz w:val="20"/>
                <w:szCs w:val="20"/>
                <w:color w:val="auto"/>
              </w:rPr>
            </w:pPr>
            <w:r>
              <w:rPr>
                <w:rFonts w:ascii="Arial" w:cs="Arial" w:eastAsia="Arial" w:hAnsi="Arial"/>
                <w:sz w:val="18"/>
                <w:szCs w:val="18"/>
                <w:color w:val="auto"/>
              </w:rPr>
              <w:t>(29,335)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139,560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1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180,462</w:t>
            </w:r>
          </w:p>
        </w:tc>
        <w:tc>
          <w:tcPr>
            <w:tcW w:w="1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143,403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gridSpan w:val="2"/>
          </w:tcPr>
          <w:p>
            <w:pPr>
              <w:jc w:val="right"/>
              <w:ind w:right="28"/>
              <w:spacing w:after="0"/>
              <w:rPr>
                <w:sz w:val="20"/>
                <w:szCs w:val="20"/>
                <w:color w:val="auto"/>
              </w:rPr>
            </w:pPr>
            <w:r>
              <w:rPr>
                <w:rFonts w:ascii="Arial" w:cs="Arial" w:eastAsia="Arial" w:hAnsi="Arial"/>
                <w:sz w:val="18"/>
                <w:szCs w:val="18"/>
                <w:color w:val="auto"/>
              </w:rPr>
              <w:t>(173,649)</w:t>
            </w:r>
          </w:p>
        </w:tc>
        <w:tc>
          <w:tcPr>
            <w:tcW w:w="1900" w:type="dxa"/>
            <w:vAlign w:val="bottom"/>
            <w:gridSpan w:val="4"/>
          </w:tcPr>
          <w:p>
            <w:pPr>
              <w:jc w:val="right"/>
              <w:ind w:right="120"/>
              <w:spacing w:after="0"/>
              <w:rPr>
                <w:sz w:val="20"/>
                <w:szCs w:val="20"/>
                <w:color w:val="auto"/>
              </w:rPr>
            </w:pPr>
            <w:r>
              <w:rPr>
                <w:rFonts w:ascii="Arial" w:cs="Arial" w:eastAsia="Arial" w:hAnsi="Arial"/>
                <w:sz w:val="18"/>
                <w:szCs w:val="18"/>
                <w:color w:val="auto"/>
              </w:rPr>
              <w:t>(220,809)</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(227,452)</w:t>
            </w:r>
          </w:p>
        </w:tc>
        <w:tc>
          <w:tcPr>
            <w:tcW w:w="1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(9,697)</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and certain non-distributable statutory reserves amounting to approximately RMB199.1 million and RMB13.2 million, respectively as of December 31, 2014. As the respective VIEs are incorporated as limited liability companies under the PRC Company Law, creditors do not have recourse to the general credit of the Company for the liabilities of the respective VIEs.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There is no entity in the Company’s group for which the Company has a variable interest but is not the primary beneficiary as of December 31, 2014.</w:t>
      </w:r>
    </w:p>
    <w:p>
      <w:pPr>
        <w:spacing w:after="0" w:line="233" w:lineRule="exact"/>
        <w:rPr>
          <w:sz w:val="20"/>
          <w:szCs w:val="20"/>
          <w:color w:val="auto"/>
        </w:rPr>
      </w:pPr>
    </w:p>
    <w:p>
      <w:pPr>
        <w:ind w:left="480" w:hanging="472"/>
        <w:spacing w:after="0"/>
        <w:tabs>
          <w:tab w:leader="none" w:pos="4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generates revenues from providing online game services and advertising services on the NetEase websites, and from e-mail, e-commerce and other services. Substantially all of the Company’s revenues are generated through its VIEs.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industry in which the Group operates is subject to a number of industry-specific risk factors, including, but not limited to, rapidly changing technologies; government regulations of the Internet and online game industry in China; significant numbers of new entrants; dependence on key individuals; competition of similar services from larger companies; customer preferences; and the need for the continued successful development, marketing and selling of its services.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 Arrangements with Guangzhou NetEase, Guangyitong Advertising, HZ Leihuo, and Shanghai EaseNet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principal VIEs with respect to the operation of the NetEase websites, operation of self-developed and licensed online and mobile games, Internet content and wireless value-added services, as well as the provision of advertising services. Our VIEs include:</w:t>
      </w:r>
    </w:p>
    <w:p>
      <w:pPr>
        <w:spacing w:after="0" w:line="165" w:lineRule="exact"/>
        <w:rPr>
          <w:sz w:val="20"/>
          <w:szCs w:val="20"/>
          <w:color w:val="auto"/>
        </w:rPr>
      </w:pPr>
    </w:p>
    <w:p>
      <w:pPr>
        <w:ind w:left="780" w:right="80" w:hanging="266"/>
        <w:spacing w:after="0" w:line="277" w:lineRule="auto"/>
        <w:tabs>
          <w:tab w:leader="none" w:pos="7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Guangzhou NetEase (owned by William Lei Ding or Mr. Ding, the Company’s Chief Executive Office, director and principal shareholder, and one Chinese employee of the Company,(together referred as “the VIE shareholders”)*),</w:t>
      </w:r>
    </w:p>
    <w:p>
      <w:pPr>
        <w:spacing w:after="0" w:line="170" w:lineRule="exact"/>
        <w:rPr>
          <w:rFonts w:ascii="Arial" w:cs="Arial" w:eastAsia="Arial" w:hAnsi="Arial"/>
          <w:sz w:val="18"/>
          <w:szCs w:val="18"/>
          <w:color w:val="auto"/>
        </w:rPr>
      </w:pPr>
    </w:p>
    <w:p>
      <w:pPr>
        <w:ind w:left="800" w:hanging="286"/>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Guangyitong Advertising (owned by Mr. Ding and Guangzhou NetEase*),</w:t>
      </w:r>
    </w:p>
    <w:p>
      <w:pPr>
        <w:spacing w:after="0" w:line="225" w:lineRule="exact"/>
        <w:rPr>
          <w:rFonts w:ascii="Arial" w:cs="Arial" w:eastAsia="Arial" w:hAnsi="Arial"/>
          <w:sz w:val="18"/>
          <w:szCs w:val="18"/>
          <w:color w:val="auto"/>
        </w:rPr>
      </w:pPr>
    </w:p>
    <w:p>
      <w:pPr>
        <w:ind w:left="800" w:hanging="286"/>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HZ Leihuo (owned by two employees of the Company), and</w:t>
      </w:r>
    </w:p>
    <w:p>
      <w:pPr>
        <w:spacing w:after="0" w:line="225" w:lineRule="exact"/>
        <w:rPr>
          <w:rFonts w:ascii="Arial" w:cs="Arial" w:eastAsia="Arial" w:hAnsi="Arial"/>
          <w:sz w:val="18"/>
          <w:szCs w:val="18"/>
          <w:color w:val="auto"/>
        </w:rPr>
      </w:pPr>
    </w:p>
    <w:p>
      <w:pPr>
        <w:ind w:left="800" w:hanging="286"/>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Shanghai EaseNet (owned by Mr. Ding).</w:t>
      </w:r>
    </w:p>
    <w:p>
      <w:pPr>
        <w:sectPr>
          <w:pgSz w:w="11900" w:h="16838" w:orient="portrait"/>
          <w:cols w:equalWidth="0" w:num="1">
            <w:col w:w="11420"/>
          </w:cols>
          <w:pgMar w:left="240" w:top="125" w:right="239" w:bottom="59" w:gutter="0" w:footer="0" w:header="0"/>
        </w:sectPr>
      </w:pPr>
    </w:p>
    <w:bookmarkStart w:id="84" w:name="page85"/>
    <w:bookmarkEnd w:id="84"/>
    <w:p>
      <w:pPr>
        <w:ind w:right="100"/>
        <w:spacing w:after="0" w:line="302" w:lineRule="auto"/>
        <w:rPr>
          <w:sz w:val="20"/>
          <w:szCs w:val="20"/>
          <w:color w:val="auto"/>
        </w:rPr>
      </w:pPr>
      <w:r>
        <w:rPr>
          <w:rFonts w:ascii="Arial" w:cs="Arial" w:eastAsia="Arial" w:hAnsi="Arial"/>
          <w:sz w:val="16"/>
          <w:szCs w:val="16"/>
          <w:color w:val="auto"/>
        </w:rPr>
        <w:t>Based on the agreements with these VIEs, the Company’s subsidiaries NetEase Beijing, Media Beijing, Boguan and NetEase Hangzhou provided technical consulting and related services to these VIEs. In 2012, these agreements were replaced with the following new cooperative agreements to reflect a change in the tax rules in China which resulted in the Company’s business in China becoming subject to a value-added tax instead of a business tax. The principal agreements that transfer economic benefits of Guangzhou NetEase and Guangyitong Advertising to the Company and its subsidiaries are:</w:t>
      </w:r>
    </w:p>
    <w:p>
      <w:pPr>
        <w:spacing w:after="0" w:line="154" w:lineRule="exact"/>
        <w:rPr>
          <w:sz w:val="20"/>
          <w:szCs w:val="20"/>
          <w:color w:val="auto"/>
        </w:rPr>
      </w:pPr>
    </w:p>
    <w:p>
      <w:pPr>
        <w:ind w:left="840" w:right="140" w:hanging="326"/>
        <w:spacing w:after="0" w:line="264" w:lineRule="auto"/>
        <w:tabs>
          <w:tab w:leader="none" w:pos="790" w:val="left"/>
        </w:tabs>
        <w:numPr>
          <w:ilvl w:val="0"/>
          <w:numId w:val="9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Cooperative agreements with Guangzhou NetEase — </w:t>
      </w:r>
      <w:r>
        <w:rPr>
          <w:rFonts w:ascii="Arial" w:cs="Arial" w:eastAsia="Arial" w:hAnsi="Arial"/>
          <w:sz w:val="18"/>
          <w:szCs w:val="18"/>
          <w:color w:val="auto"/>
        </w:rPr>
        <w:t>under these agreements, the Company’s subsidiaries NetEase Beijing, Boguan and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Hangzhou provide various technical consulting and related services to Guangzhou NetEase in exchange for substantially all of Guangzhou NetEase’s net profits.</w:t>
      </w:r>
    </w:p>
    <w:p>
      <w:pPr>
        <w:spacing w:after="0" w:line="181" w:lineRule="exact"/>
        <w:rPr>
          <w:rFonts w:ascii="Arial" w:cs="Arial" w:eastAsia="Arial" w:hAnsi="Arial"/>
          <w:sz w:val="18"/>
          <w:szCs w:val="18"/>
          <w:b w:val="1"/>
          <w:bCs w:val="1"/>
          <w:color w:val="auto"/>
        </w:rPr>
      </w:pPr>
    </w:p>
    <w:p>
      <w:pPr>
        <w:ind w:left="840" w:right="240" w:hanging="326"/>
        <w:spacing w:after="0" w:line="264" w:lineRule="auto"/>
        <w:tabs>
          <w:tab w:leader="none" w:pos="790" w:val="left"/>
        </w:tabs>
        <w:numPr>
          <w:ilvl w:val="0"/>
          <w:numId w:val="9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Cooperative agreements with Guangyitong Advertising </w:t>
      </w:r>
      <w:r>
        <w:rPr>
          <w:rFonts w:ascii="Arial" w:cs="Arial" w:eastAsia="Arial" w:hAnsi="Arial"/>
          <w:sz w:val="18"/>
          <w:szCs w:val="18"/>
          <w:color w:val="auto"/>
        </w:rPr>
        <w:t>— under these agreements, NetEase Beijing from 2012 until October 2013, and Media</w:t>
      </w:r>
      <w:r>
        <w:rPr>
          <w:rFonts w:ascii="Arial" w:cs="Arial" w:eastAsia="Arial" w:hAnsi="Arial"/>
          <w:sz w:val="18"/>
          <w:szCs w:val="18"/>
          <w:i w:val="1"/>
          <w:iCs w:val="1"/>
          <w:color w:val="auto"/>
        </w:rPr>
        <w:t xml:space="preserve"> </w:t>
      </w:r>
      <w:r>
        <w:rPr>
          <w:rFonts w:ascii="Arial" w:cs="Arial" w:eastAsia="Arial" w:hAnsi="Arial"/>
          <w:sz w:val="18"/>
          <w:szCs w:val="18"/>
          <w:color w:val="auto"/>
        </w:rPr>
        <w:t>Beijing from October 2013 onwards, provide various technical consulting and related services in exchange for substantially all of Guangyitong Advertising’s profits.</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Each cooperative agreement will remain in effect indefinitely unless any one of the contract parties objects or otherwise required by law.</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agreements that provide the Company and its subsidiaries effective control over Guangzhou NetEase and Guangyitong Advertising are:</w:t>
      </w:r>
    </w:p>
    <w:p>
      <w:pPr>
        <w:spacing w:after="0" w:line="237" w:lineRule="exact"/>
        <w:rPr>
          <w:sz w:val="20"/>
          <w:szCs w:val="20"/>
          <w:color w:val="auto"/>
        </w:rPr>
      </w:pPr>
    </w:p>
    <w:p>
      <w:pPr>
        <w:ind w:left="840" w:hanging="326"/>
        <w:spacing w:after="0" w:line="255" w:lineRule="auto"/>
        <w:tabs>
          <w:tab w:leader="none" w:pos="79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Operating Agreement among NetEase Beijing, Guangyitong Advertising and the VIE shareholders of Guangyitong Advertising. To ensure the successful performance of the various agreements between the parties, Guangyitong Advertising and the VIE shareholders have agreed that they will not enter into any transaction, or fail to take any action, that would substantially affect the assets, liabilities, equity or operations of Guangyitong Advertising without the prior written consent of NetEase Beijing. NetEase Beijing has also agreed that it will provide performance guarantees and guarantee loans for working capital purposes to the extent required by Guangyitong Advertising for its operations. The term of this agreement is 20 years from February 3, 2000.</w:t>
      </w:r>
    </w:p>
    <w:p>
      <w:pPr>
        <w:spacing w:after="0" w:line="193" w:lineRule="exact"/>
        <w:rPr>
          <w:rFonts w:ascii="Arial" w:cs="Arial" w:eastAsia="Arial" w:hAnsi="Arial"/>
          <w:sz w:val="18"/>
          <w:szCs w:val="18"/>
          <w:b w:val="1"/>
          <w:bCs w:val="1"/>
          <w:color w:val="auto"/>
        </w:rPr>
      </w:pPr>
    </w:p>
    <w:p>
      <w:pPr>
        <w:ind w:left="840" w:right="60" w:hanging="326"/>
        <w:spacing w:after="0" w:line="255" w:lineRule="auto"/>
        <w:tabs>
          <w:tab w:leader="none" w:pos="79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Shareholder Voting Rights Trust Agreement among the VIE shareholders and NetEase Beijing. William Lei Ding irrevocably appoints NetEase Beijing to represent him to exercise all the voting rights to which he is entitled as a shareholder of Guangyitong Advertising and the VIE shareholders agree to cause Guangzhou NetEase to irrevocably appoint NetEase Beijing to represent Guangzhou NetEase to exercise all voting rights. NetEase Beijing has also agreed that it will provide performance guarantees and guarantee loans for working capital purposes to the extent required by Guangyitong Advertising for its operations. The term of this agreement was 10 years from May 12, 2000, which was extended on June 10, 2011 with a term of 20 years from May 12, 2010.</w:t>
      </w:r>
    </w:p>
    <w:p>
      <w:pPr>
        <w:spacing w:after="0" w:line="193" w:lineRule="exact"/>
        <w:rPr>
          <w:rFonts w:ascii="Arial" w:cs="Arial" w:eastAsia="Arial" w:hAnsi="Arial"/>
          <w:sz w:val="18"/>
          <w:szCs w:val="18"/>
          <w:b w:val="1"/>
          <w:bCs w:val="1"/>
          <w:color w:val="auto"/>
        </w:rPr>
      </w:pPr>
    </w:p>
    <w:p>
      <w:pPr>
        <w:ind w:left="840" w:right="60" w:hanging="326"/>
        <w:spacing w:after="0" w:line="255" w:lineRule="auto"/>
        <w:tabs>
          <w:tab w:leader="none" w:pos="79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Letter of Agreement. Each of VIE shareholder have agreed that any amendments to be made to the agreements to which Guangzhou NetEase, Guangyitong Advertising and/or the VIE shareholders are parties, shall be subject to the approval by the vote of a majority of the Board of the Company, excluding the vote of William Lei Ding. The VIE shareholders have also agreed that, if any amendments to the above mentioned agreements require a vote of the shareholders of NetEase, Guangzhou NetEase or Guangyitong Advertising, as applicable, both of them will vote in their capacity as direct or indirect shareholders of these companies to act based upon the instructions of the Company’s Board. The term of this agreement is 20 years from June 6, 2000.</w:t>
      </w:r>
    </w:p>
    <w:p>
      <w:pPr>
        <w:spacing w:after="0" w:line="193" w:lineRule="exact"/>
        <w:rPr>
          <w:rFonts w:ascii="Arial" w:cs="Arial" w:eastAsia="Arial" w:hAnsi="Arial"/>
          <w:sz w:val="18"/>
          <w:szCs w:val="18"/>
          <w:b w:val="1"/>
          <w:bCs w:val="1"/>
          <w:color w:val="auto"/>
        </w:rPr>
      </w:pPr>
    </w:p>
    <w:p>
      <w:pPr>
        <w:ind w:left="840" w:right="140" w:hanging="326"/>
        <w:spacing w:after="0" w:line="297" w:lineRule="auto"/>
        <w:tabs>
          <w:tab w:leader="none" w:pos="790" w:val="left"/>
        </w:tabs>
        <w:numPr>
          <w:ilvl w:val="0"/>
          <w:numId w:val="92"/>
        </w:numPr>
        <w:rPr>
          <w:rFonts w:ascii="Arial" w:cs="Arial" w:eastAsia="Arial" w:hAnsi="Arial"/>
          <w:sz w:val="16"/>
          <w:szCs w:val="16"/>
          <w:b w:val="1"/>
          <w:bCs w:val="1"/>
          <w:color w:val="auto"/>
        </w:rPr>
      </w:pPr>
      <w:r>
        <w:rPr>
          <w:rFonts w:ascii="Arial" w:cs="Arial" w:eastAsia="Arial" w:hAnsi="Arial"/>
          <w:sz w:val="16"/>
          <w:szCs w:val="16"/>
          <w:color w:val="auto"/>
        </w:rPr>
        <w:t>Other Governance Arrangements. The parties have agreed that upon NetEase Beijing’s determination and at any time when NetEase Beijing is able to obtain approval to invest in and operate all or any part of Guangyitong Advertising or Guangzhou NetEase, NetEase Beijing may acquire all or any part of the assets or equity interests of Guangyitong Advertising or Guangzhou NetEase, to the extent permitted by Chinese law. In addition, the ultimate shareholders of Guangyitong Advertising have agreed that upon instruction from NetEase Beijing, they will appoint or terminate Guangyitong Advertising’s board members, General Manager, Chief Financial Officer and other senior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right="80" w:hanging="326"/>
        <w:spacing w:after="0" w:line="259" w:lineRule="auto"/>
        <w:tabs>
          <w:tab w:leader="none" w:pos="8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May 2014, NetEase Beijing caused the 10.0% interest in Guangzhou NetEase held by Bo Ding to be transferred to William Lei Ding (9%) and one Chinese employee of the Company (1%). As a result of this transfer, William Lei Ding and that employee of the Company own 99.0% and 1.0% of the equity interest in Guangzhou NetEase, respectively. Concurrently, Bo Ding transferred the 20.0% equity interest in Guangyitong Advertising held by him to William Lei 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HZ Leihuo are:</w:t>
      </w:r>
    </w:p>
    <w:p>
      <w:pPr>
        <w:spacing w:after="0" w:line="225" w:lineRule="exact"/>
        <w:rPr>
          <w:sz w:val="20"/>
          <w:szCs w:val="20"/>
          <w:color w:val="auto"/>
        </w:rPr>
      </w:pPr>
    </w:p>
    <w:p>
      <w:pPr>
        <w:ind w:left="660" w:right="100" w:hanging="652"/>
        <w:spacing w:after="0" w:line="271" w:lineRule="auto"/>
        <w:tabs>
          <w:tab w:leader="none" w:pos="611" w:val="left"/>
        </w:tabs>
        <w:numPr>
          <w:ilvl w:val="0"/>
          <w:numId w:val="94"/>
        </w:numPr>
        <w:rPr>
          <w:rFonts w:ascii="Arial" w:cs="Arial" w:eastAsia="Arial" w:hAnsi="Arial"/>
          <w:sz w:val="17"/>
          <w:szCs w:val="17"/>
          <w:b w:val="1"/>
          <w:bCs w:val="1"/>
          <w:color w:val="auto"/>
        </w:rPr>
      </w:pPr>
      <w:r>
        <w:rPr>
          <w:rFonts w:ascii="Arial" w:cs="Arial" w:eastAsia="Arial" w:hAnsi="Arial"/>
          <w:sz w:val="17"/>
          <w:szCs w:val="17"/>
          <w:color w:val="auto"/>
        </w:rPr>
        <w:t>Operating Agreement among NetEase Hangzhou, HZ Leihuo and the VIE shareholders of HZ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April 15, 2009 and can be extended with the written consent of NetEase Hangzhou.</w:t>
      </w:r>
    </w:p>
    <w:p>
      <w:pPr>
        <w:spacing w:after="0" w:line="178" w:lineRule="exact"/>
        <w:rPr>
          <w:rFonts w:ascii="Arial" w:cs="Arial" w:eastAsia="Arial" w:hAnsi="Arial"/>
          <w:sz w:val="17"/>
          <w:szCs w:val="17"/>
          <w:b w:val="1"/>
          <w:bCs w:val="1"/>
          <w:color w:val="auto"/>
        </w:rPr>
      </w:pPr>
    </w:p>
    <w:p>
      <w:pPr>
        <w:ind w:left="660" w:right="360" w:hanging="652"/>
        <w:spacing w:after="0" w:line="259" w:lineRule="auto"/>
        <w:tabs>
          <w:tab w:leader="none" w:pos="61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Cooperation Agreement between NetEase Hangzhou and HZ Leihuo. Under this agreement, starting from January 1, 2010, NetEase Hangzhou agreed to provide various technical consulting and related services to HZ Leihuo in exchange for a monthly service fee paid by HZ Leihuo. The agreement will continue to be effective unless it is terminated by written notice of NetEase Hangzhou or, in case of a material breach of the agreement, it is terminated by written notice of the non-breaching party.</w:t>
      </w:r>
    </w:p>
    <w:p>
      <w:pPr>
        <w:spacing w:after="0" w:line="186" w:lineRule="exact"/>
        <w:rPr>
          <w:rFonts w:ascii="Arial" w:cs="Arial" w:eastAsia="Arial" w:hAnsi="Arial"/>
          <w:sz w:val="18"/>
          <w:szCs w:val="18"/>
          <w:b w:val="1"/>
          <w:bCs w:val="1"/>
          <w:color w:val="auto"/>
        </w:rPr>
      </w:pPr>
    </w:p>
    <w:p>
      <w:pPr>
        <w:ind w:left="660" w:hanging="652"/>
        <w:spacing w:after="0" w:line="259" w:lineRule="auto"/>
        <w:tabs>
          <w:tab w:leader="none" w:pos="61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Proxy Agreements between NetEase Hangzhou and the VIE shareholders of HZ Leihuo. Each of the VIE shareholders of HZ Leihuo has agreed to irrevocably entrust a person designated by NetEase Hangzhou to represent him to exercise all the voting rights and other shareholders’ rights to which he is entitled as a shareholder of HZ Leihuo. The term of each proxy agreement is 20 years from April 15, 2009 and may be extended with the mutual agreement of both parties.</w:t>
      </w:r>
    </w:p>
    <w:p>
      <w:pPr>
        <w:sectPr>
          <w:pgSz w:w="11900" w:h="16838" w:orient="portrait"/>
          <w:cols w:equalWidth="0" w:num="1">
            <w:col w:w="11380"/>
          </w:cols>
          <w:pgMar w:left="240" w:top="125" w:right="279" w:bottom="0" w:gutter="0" w:footer="0" w:header="0"/>
        </w:sectPr>
      </w:pPr>
    </w:p>
    <w:bookmarkStart w:id="85" w:name="page86"/>
    <w:bookmarkEnd w:id="85"/>
    <w:p>
      <w:pPr>
        <w:ind w:left="660" w:hanging="652"/>
        <w:spacing w:after="0" w:line="272" w:lineRule="auto"/>
        <w:tabs>
          <w:tab w:leader="none" w:pos="611"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Exclusive Purchase Option Agreements among NetEase Hangzhou, HZ Leihuo and the VIE shareholders of HZ Leihuo. Each of VIE shareholders of HZ Leihuo has granted NetEase Hangzhou an option to purchase all or a portion of his equity interest in HZ Leihuo at a price equal to the original paid-in capital paid by the ultimate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The term of each Exclusive Purchase Option Agreement is 20 years from April 15, 2009 and can be extended with the written consent of NetEase Hangzhou.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Joint Venture</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to the foregoing, in connection with the licensing of certain online games by Blizzard to Shanghai EaseNet for operation in the PRC, there are certain contractual arrangements among Shanghai EaseNet, the joint venture established between Blizzard and the Company, and the Company.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Due to the restriction on the disposition of their respective shares in the joint venture, Blizzard and NetEase are considered related parties for purposes of identifying which party is the primary beneficiary under ASC 810. Since the aggregate variable interests held by Blizzard and NetEase would, if held by a single party, identify that party as the primary beneficiary, either Blizzard or NetEase will be the primary beneficiary. Based on the assessment of all relevant facts and circumstances, the Company determined that NetEase is most closely associated with the JV Group and therefore is the primary beneficiary. As a result, the JV Group’s results of operations, assets and liabilities have been included in the Company’s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VIE arrangements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believes that its contractual arrangements with the VIEs are in compliance with PRC law and are legally enforceable. The major shareholder of Guangzhou NetEase, which is in turn the major shareholder of Guangyitong Advertising, Wangyibao Company and Youdao Computer, and of Shanghai EaseNet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It is unclear, however, how such restructuring could impact the Company’s business and operating results, as the Chinese government has not yet found any such contractual arrangements non-compliant. If the legal structure and contractual arrangements were found to be in violation of any existing PRC laws and regulations, the PRC government could potentially:</w:t>
      </w:r>
    </w:p>
    <w:p>
      <w:pPr>
        <w:spacing w:after="0" w:line="192" w:lineRule="exact"/>
        <w:rPr>
          <w:sz w:val="20"/>
          <w:szCs w:val="20"/>
          <w:color w:val="auto"/>
        </w:rPr>
      </w:pP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23" w:lineRule="exact"/>
        <w:rPr>
          <w:rFonts w:ascii="Arial" w:cs="Arial" w:eastAsia="Arial" w:hAnsi="Arial"/>
          <w:sz w:val="18"/>
          <w:szCs w:val="18"/>
          <w:color w:val="auto"/>
        </w:rPr>
      </w:pP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require the Group to discontinue or restrict operations;</w:t>
      </w:r>
    </w:p>
    <w:p>
      <w:pPr>
        <w:spacing w:after="0" w:line="9" w:lineRule="exact"/>
        <w:rPr>
          <w:rFonts w:ascii="Arial" w:cs="Arial" w:eastAsia="Arial" w:hAnsi="Arial"/>
          <w:sz w:val="18"/>
          <w:szCs w:val="18"/>
          <w:color w:val="auto"/>
        </w:rPr>
      </w:pP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9" w:lineRule="exact"/>
        <w:rPr>
          <w:rFonts w:ascii="Arial" w:cs="Arial" w:eastAsia="Arial" w:hAnsi="Arial"/>
          <w:sz w:val="18"/>
          <w:szCs w:val="18"/>
          <w:color w:val="auto"/>
        </w:rPr>
      </w:pP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9" w:lineRule="exact"/>
        <w:rPr>
          <w:rFonts w:ascii="Arial" w:cs="Arial" w:eastAsia="Arial" w:hAnsi="Arial"/>
          <w:sz w:val="18"/>
          <w:szCs w:val="18"/>
          <w:color w:val="auto"/>
        </w:rPr>
      </w:pPr>
    </w:p>
    <w:p>
      <w:pPr>
        <w:ind w:left="1140" w:right="140" w:hanging="237"/>
        <w:spacing w:after="0" w:line="250" w:lineRule="auto"/>
        <w:tabs>
          <w:tab w:leader="none" w:pos="1114"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require the Group to restructure the operations in such a way as to compel the Group to establish a new enterprise, re-apply for the necessary licenses or relocate the Group’s businesses, staff and assets;</w:t>
      </w: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9" w:lineRule="exact"/>
        <w:rPr>
          <w:rFonts w:ascii="Arial" w:cs="Arial" w:eastAsia="Arial" w:hAnsi="Arial"/>
          <w:sz w:val="18"/>
          <w:szCs w:val="18"/>
          <w:color w:val="auto"/>
        </w:rPr>
      </w:pPr>
    </w:p>
    <w:p>
      <w:pPr>
        <w:ind w:left="1120" w:hanging="21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183"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225"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ectPr>
          <w:pgSz w:w="11900" w:h="16838" w:orient="portrait"/>
          <w:cols w:equalWidth="0" w:num="1">
            <w:col w:w="11400"/>
          </w:cols>
          <w:pgMar w:left="240" w:top="125" w:right="259" w:bottom="104" w:gutter="0" w:footer="0" w:header="0"/>
        </w:sectPr>
      </w:pPr>
    </w:p>
    <w:bookmarkStart w:id="86" w:name="page87"/>
    <w:bookmarkEnd w:id="86"/>
    <w:p>
      <w:pPr>
        <w:ind w:right="260"/>
        <w:spacing w:after="0" w:line="25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80" w:hanging="472"/>
        <w:spacing w:after="0"/>
        <w:tabs>
          <w:tab w:leader="none" w:pos="4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These estimates and assumptions include, but are not limited to, assessing the following: lives of the permanent in-game items, the determination of whether sales prices are fixed or determinable and collectability is reasonably assured, realization of deferred tax assets and the determination of uncertain tax positions, useful lives and impairment provision of property, equipment and software and intangibles, assumptions related to stock-based compensation and assumptions related to the valuation of the equity investments.</w:t>
      </w:r>
    </w:p>
    <w:p>
      <w:pPr>
        <w:spacing w:after="0" w:line="161"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Group recognizes revenue when persuasive evidence of an arrangement exists, delivery has occurred, the sales price is fixed or determinable and collectability is reasonably assured.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revenues presented in the consolidated statements of operations and comprehensive income represent revenues from online game services, advertising services, e-mail, e-commerce and others recognized net of sales discount, sales tax and related surcharges.</w:t>
      </w:r>
    </w:p>
    <w:p>
      <w:pPr>
        <w:spacing w:after="0" w:line="170" w:lineRule="exact"/>
        <w:rPr>
          <w:sz w:val="20"/>
          <w:szCs w:val="20"/>
          <w:color w:val="auto"/>
        </w:rPr>
      </w:pPr>
    </w:p>
    <w:p>
      <w:pPr>
        <w:ind w:left="480" w:hanging="454"/>
        <w:spacing w:after="0"/>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Online game services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MMORPG games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Group sells prepaid point cards through Guangzhou NetEase and Shanghai EaseNet to the end user. Customers can purchase physical prepaid point cards in different locations in China, including Internet cafés, software stores, convenience stores and bookstores. Customers can also purchase “virtual” prepaid points from vendors who register the points in the Group’s system and “virtual” prepaid cards online via debit and credit cards or bank transfers via the Company’s Wangyibao online payment services platform, and receive the prepaid point information over the Internet. Customers can use the points to play the Group’s online games, pay for in-game items and use other fee-based services. Proceeds received from the sales of prepaid point cards and online points to players are recorded as deferred revenues. The Group earns revenue through providing online game services to players under two types of revenue models: time-based revenue model and item-based revenue model. For online games using the time-based model, players are charged based on the time they spend playing games.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item-based model, the basic game play functions are free of charge, and players are charged for purchases of in-game items. Revenues from the sales of in-game items are recognized when the items are consumed by the customers or over the estimated lives of the in-game items. The Company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in-game items. The Group assesses the estimated lives of the permanent in-game items for the item-based games on a quarterly basis. Adjustments arising from the changes of estimated lives of permanent in-game items are applied prospectively as such changes are resulted from new information indicating a change in the game player behavior patterns.</w:t>
      </w:r>
    </w:p>
    <w:p>
      <w:pPr>
        <w:spacing w:after="0" w:line="17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Unused online points in a personal game account are recognized as revenues when the likelihood that the Group would provide further online games services with respect to such online points is remote. The Group has determined that such likelihood is remote when the personal game account has been inactive for 540 days or more. The revenue recognized from the inactive accounts was insignificant in 2012, 2013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Group primarily operates mobile games including both self-developed and licensed mobile games through HZ Leihuo and generates mobile game revenues from the sale of in-game virtual items, including items, avatars, skills, privileges or other in-game consumables, features or functionality, within the games.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Group records revenue generated from mobile games on a gross basis as the Group is acting as the principal to fulfill all obligations related to the mobile game operation. Fees paid to game developers, distribution channels (app stores) and payment channels are recorded as cost of revenues.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purposes of determining when the service has been provided to the end-users, the Group determined that an implied obligation exists to provide on-going services to the end-users who purchased virtual items to gain an enhanced game-playing experience over an average playing period of the paying players. Accordingly, the Group recognizes the revenues ratably over the estimated average playing period of these paying players, starting from the point in time when virtual items are delivered to the players’ accounts and all other revenue recognition criteria are met.</w:t>
      </w:r>
    </w:p>
    <w:p>
      <w:pPr>
        <w:sectPr>
          <w:pgSz w:w="11900" w:h="16838" w:orient="portrait"/>
          <w:cols w:equalWidth="0" w:num="1">
            <w:col w:w="11380"/>
          </w:cols>
          <w:pgMar w:left="240" w:top="125" w:right="279" w:bottom="0" w:gutter="0" w:footer="0" w:header="0"/>
        </w:sectPr>
      </w:pPr>
    </w:p>
    <w:bookmarkStart w:id="87" w:name="page88"/>
    <w:bookmarkEnd w:id="87"/>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considers the average period that players typically play the games and other game player behavior patterns, as well as various other factors to arrive at the best estimates for the estimated playing period of the paying players.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93" w:lineRule="exact"/>
        <w:rPr>
          <w:sz w:val="20"/>
          <w:szCs w:val="20"/>
          <w:color w:val="auto"/>
        </w:rPr>
      </w:pPr>
    </w:p>
    <w:p>
      <w:pPr>
        <w:ind w:left="480" w:hanging="472"/>
        <w:spacing w:after="0"/>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Advertising services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Group derives its advertising revenues principally from short-term online advertising contracts engaged by Guangyitong Advertising. Advertising service contracts may consist of multiple elements with a typical term of one quarter to one year. In accordance with ASU No.2009-13 Revenue Recognition - Multiple-Deliverable Revenue Arrangements (“ASU No.2009 -13”), the Company treats advertising contracts with multiple deliverable elements as separate units of accounting for revenue recognition purposes and recognizes revenue on a periodic basis during the contract when each deliverable service is provided. Since the contract price is for all deliverables, the Company allocates the arrangement consideration to all deliverables at the inception of the arrangement on the basis of their relative selling price according to the selling price hierarchy established by ASU No.2009-13. The Company uses</w:t>
      </w:r>
    </w:p>
    <w:p>
      <w:pPr>
        <w:spacing w:after="0" w:line="5" w:lineRule="exact"/>
        <w:rPr>
          <w:sz w:val="20"/>
          <w:szCs w:val="20"/>
          <w:color w:val="auto"/>
        </w:rPr>
      </w:pPr>
    </w:p>
    <w:p>
      <w:pPr>
        <w:ind w:right="80" w:firstLine="8"/>
        <w:spacing w:after="0" w:line="255" w:lineRule="auto"/>
        <w:tabs>
          <w:tab w:leader="none" w:pos="2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vendor-specific objective evidence of selling price, if it exists, otherwise, (b) third-party evidence of selling price. If neither (a) nor (b) exists, the Company will use (c) the management’s best estimate of the selling price for that deliverable. The adoption did not have a material impact on the Company’s consolidated financial statements.</w:t>
      </w:r>
    </w:p>
    <w:p>
      <w:pPr>
        <w:spacing w:after="0" w:line="1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the search engine business, Youdao Information enters into “cost per action” (“CPA”) advertising contracts and receives fees when an online user performs a specific action such as purchasing a product from or registering with the advertiser. Revenue for CPA contracts is recognized when the specific action is completed. Youdao Information may also enter into advertising business contracts with advertisers that include guarantees of a minimum number of impressions or times that an advertisement appears in pages viewed by users. To the extent that minimum guaranteed impressions are not met within the contractual time period, the related revenues are deferred until the remaining guaranteed impression levels are achieved.</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Group recognizes revenue and expense at fair value from a barter transaction involving advertising services provided by the Group only if the fair value of the advertising services surrendered in the transaction is determinable based on the entity’s own historical practice of receiving cash and cash equivalents, marketable securities, or other consideration that is readily convertible to a known amount of cash for similar advertising from buyers unrelated to the counterparty in the barter transaction.</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For the years ended December 31, 2012, 2013 and 2014, the Group engaged in certain advertising barter transactions for which the fair value was not determinable and therefore no revenues or expenses derived from these barter transactions were recognized. These transactions primarily involved exchanges of advertising services rendered by the Group for advertising, promotional benefits, content, consulting services and software provided by the counterparties.</w:t>
      </w:r>
    </w:p>
    <w:p>
      <w:pPr>
        <w:spacing w:after="0" w:line="147" w:lineRule="exact"/>
        <w:rPr>
          <w:sz w:val="20"/>
          <w:szCs w:val="20"/>
          <w:color w:val="auto"/>
        </w:rPr>
      </w:pPr>
    </w:p>
    <w:p>
      <w:pPr>
        <w:ind w:left="500" w:hanging="49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E-mail, e-commerce services and others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Revenue from e-mail, e-commerce and others is predominantly derived from activities related to fee-based premium services, e-commerce and online payment platform services.</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Fee-based premium services revenues, operated on a monthly subscription basis, are derived principally from providing premium e-mail and other wireless value-added services. Prepaid subscription revenues are deferred and are recognized by the Group over the period in which the services are provided.</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February 2009, the Company launched its Wangyibao payment platform, through which game players registered for Wangyibao operations can deposit money in their accounts and use the accounts to pay for game point cards and other fee-based services and products rendered by the Company. The Company recognizes revenue when services are rendered to account holders in accordance with service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from e-commerce services mainly include e-commerce services related to third party virtual e-commerce products. The Company recognizes revenue when services are rendered to customers based on the pre-determined service fee rate.</w:t>
      </w:r>
    </w:p>
    <w:p>
      <w:pPr>
        <w:spacing w:after="0" w:line="166" w:lineRule="exact"/>
        <w:rPr>
          <w:sz w:val="20"/>
          <w:szCs w:val="20"/>
          <w:color w:val="auto"/>
        </w:rPr>
      </w:pPr>
    </w:p>
    <w:p>
      <w:pPr>
        <w:ind w:left="480" w:hanging="454"/>
        <w:spacing w:after="0"/>
        <w:tabs>
          <w:tab w:leader="none" w:pos="4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Costs of online game services, advertising services and e-mail, e-commerce and others consist primarily of staff costs, royalties and consultancy fees related to licensed games, revenue sharing cost related to mobile games, depreciation and amortization of computers and software, server custody fees, bandwidth, and other direct costs of providing these services. These costs are charged to the consolidated statements of operations and comprehensive income as incurred.</w:t>
      </w:r>
    </w:p>
    <w:p>
      <w:pPr>
        <w:spacing w:after="0" w:line="18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For the years ended December 31, 2012, 2013 and 2014, the costs incurred for development of online game products have not been capitalized because the period after the date technical feasibility is reached and the time when the game is marketed is short historically and the development cost incurred in the period are insignificant.</w:t>
      </w:r>
    </w:p>
    <w:p>
      <w:pPr>
        <w:spacing w:after="0" w:line="150"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time deposits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Cash and cash equivalents represent cash on hand, demand deposits placed with large reputable banks in Hong Kong or China, and highly liquid investments that are readily convertible to known amounts of cash and with original maturities from the date of purchase with terms of less than three months. As of December 31, 2013, there were cash at bank and demand deposits with terms of less than three months denominated in US dollars and Euro amounting to approximately US$12.7 million and Euro4.3 million, respectively. As of December 31, 2014, there were cash at bank and demand deposits with terms of less than three months denominated in US dollars and Euro amounting to approximately US$25.9 million and Euro2.1 million, respectively (equivalent to approximately RMB158.3 million and RMB15.3 million, respectively).</w:t>
      </w:r>
    </w:p>
    <w:p>
      <w:pPr>
        <w:sectPr>
          <w:pgSz w:w="11900" w:h="16853" w:orient="portrait"/>
          <w:cols w:equalWidth="0" w:num="1">
            <w:col w:w="11400"/>
          </w:cols>
          <w:pgMar w:left="240" w:top="125" w:right="259" w:bottom="0" w:gutter="0" w:footer="0" w:header="0"/>
        </w:sectPr>
      </w:pPr>
    </w:p>
    <w:bookmarkStart w:id="88" w:name="page89"/>
    <w:bookmarkEnd w:id="88"/>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Time deposits represent time deposits placed with banks with original maturities of three months or more. As of December 31, 2013, there were time deposits denominated in US dollars and Euro amounting to approximately US$382.3 million and Euro2.6 million, respectively. As of December 31, 2014, there were time deposits denominated in US dollars and Euro amounting to approximately US$637.6 million and Euro2.0 million (equivalent to approximately RMB3.9 billion and RMB14.9 million, respectively).</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of December 31, 2013 and 2014, the Company had approximately RMB14.6 billion and RMB14.7 billion cash and cash equivalents and time deposits held by its PRC subsidiaries and VIEs, representing 78.3% and 69.2% of total cash and cash equivalents and time deposits of the Company,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and 2014, the Company had a restricted cash balance which is set aside for a period of 12 months or less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RMB2,136.7 million and RMB2,628.8 million, respectively, comprising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Guarantee deposit for consulting fee payments due to Blizzard</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Escrow account deposit for funding sales and marketing activities of Blizzard’s licensed games</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212.4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276.1</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 of Wangyibao accounts</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389.3</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599.3</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Pledge deposit for short-term bank borrowing</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1,459.0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1,703.4</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2,136.7</w:t>
            </w:r>
          </w:p>
        </w:tc>
        <w:tc>
          <w:tcPr>
            <w:tcW w:w="18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other lien arrangements during 2013 and 2014.</w:t>
      </w:r>
    </w:p>
    <w:p>
      <w:pPr>
        <w:spacing w:after="0" w:line="22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Group’s financial instruments include cash and cash equivalents and time deposits, accounts receivable, prepayments and other current assets, short-term investments, accounts payable, short-term loan, deferred revenue and accrued liabilities and other payables, which the carrying values approximate their fair value. Please see Note 27 for additional information.</w:t>
      </w:r>
    </w:p>
    <w:p>
      <w:pPr>
        <w:spacing w:after="0" w:line="177" w:lineRule="exact"/>
        <w:rPr>
          <w:sz w:val="20"/>
          <w:szCs w:val="20"/>
          <w:color w:val="auto"/>
        </w:rPr>
      </w:pPr>
    </w:p>
    <w:p>
      <w:pPr>
        <w:ind w:left="480" w:hanging="472"/>
        <w:spacing w:after="0"/>
        <w:tabs>
          <w:tab w:leader="none" w:pos="4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Short-term investments include investments in financial instruments with a variable interest rate indexed to performance of underlying assets and investments that the Company has positive intent and ability to hold to maturity, all of which are with an original maturities of less than 12 months.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accordance with ASC 825, for investments in financial instruments with a variable interest rate indexed to performance of underlying assets, the Company elected the fair value method at the date of initial recognition and carried these investments at fair value. Changes in the fair value are reflected in the consolidated statements of operations and comprehensive income as other income /(expense). Fair value is estimated based on quoted prices of similar products provided by banks at the end of each period. The Company classifies the valuation techniques that use these inputs as Level 2 of fair value measurements. Please see Note 6 and Note 27 for additional information.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investments that the Company has positive intent and ability to hold to maturity are classified as held-to-maturity investments and stated at amortized cost. For individual investment classified as held-to-maturity investments, the Company evaluates whether a decline in fair value below the amortized cost basis is other than temporary in accordance with the Company’s policy and ASC 320-10. If the Company concludes that, it does not intend or is not required to sell an impaired debt investment before the recovery of its amortized cost basis, the impairment is considered temporary and the held-to-maturity investments continue to be recognized at the amortized cost.</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Investments not classified as trading or as held-to-maturity are classified as available-for-sale securities. An available-for-sale investment is reported at fair value, with unrealized gains and losses recorded in accumulated other comprehensive income (loss). Realized gains or losses are charged to earnings during 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other long-term assets.</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investments in an investee over which the Company does not have significant influence and which do not have readily determinable fair value, the Company carries the investment at cost and only adjusts for other-than-temporary declines in fair value and distributions of earnings that exceed the Company’s share of earnings since its investment. Management regularly evaluates the impairment of the cost method investments based on performance and financial position of the investee as well as other evidence of market value. Such evaluation includes, but is not limited to, reviewing the investee’s cash</w:t>
      </w:r>
    </w:p>
    <w:p>
      <w:pPr>
        <w:sectPr>
          <w:pgSz w:w="11900" w:h="16958" w:orient="portrait"/>
          <w:cols w:equalWidth="0" w:num="1">
            <w:col w:w="11420"/>
          </w:cols>
          <w:pgMar w:left="240" w:top="341" w:right="239" w:bottom="0" w:gutter="0" w:footer="0" w:header="0"/>
        </w:sectPr>
      </w:pPr>
    </w:p>
    <w:bookmarkStart w:id="89" w:name="page90"/>
    <w:bookmarkEnd w:id="89"/>
    <w:p>
      <w:pPr>
        <w:spacing w:after="0" w:line="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7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associated companies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Investments in associated companies in which the Company is in a position to exercise significant influence by participating in, but not controlling or jointly controlling, the financial and operating policies are accounted for using the equity method and are reported under other long-term assets in the consolidated balance sheets</w:t>
      </w:r>
    </w:p>
    <w:p>
      <w:pPr>
        <w:spacing w:after="0" w:line="177"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840" w:type="dxa"/>
            <w:vAlign w:val="bottom"/>
            <w:gridSpan w:val="2"/>
          </w:tcPr>
          <w:p>
            <w:pPr>
              <w:ind w:left="1920"/>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7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23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w:t>
            </w:r>
          </w:p>
        </w:tc>
        <w:tc>
          <w:tcPr>
            <w:tcW w:w="78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20 years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Decoration</w:t>
            </w:r>
          </w:p>
        </w:tc>
        <w:tc>
          <w:tcPr>
            <w:tcW w:w="7800" w:type="dxa"/>
            <w:vAlign w:val="bottom"/>
          </w:tcPr>
          <w:p>
            <w:pPr>
              <w:ind w:left="760"/>
              <w:spacing w:after="0"/>
              <w:rPr>
                <w:sz w:val="20"/>
                <w:szCs w:val="20"/>
                <w:color w:val="auto"/>
              </w:rPr>
            </w:pPr>
            <w:r>
              <w:rPr>
                <w:rFonts w:ascii="Arial" w:cs="Arial" w:eastAsia="Arial" w:hAnsi="Arial"/>
                <w:sz w:val="18"/>
                <w:szCs w:val="18"/>
                <w:color w:val="auto"/>
              </w:rPr>
              <w:t>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8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lesser of the term of the lease and the estimated useful lives of the assets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Furniture, fixtures and office equipment</w:t>
            </w:r>
          </w:p>
        </w:tc>
        <w:tc>
          <w:tcPr>
            <w:tcW w:w="7800" w:type="dxa"/>
            <w:vAlign w:val="bottom"/>
          </w:tcPr>
          <w:p>
            <w:pPr>
              <w:ind w:left="760"/>
              <w:spacing w:after="0"/>
              <w:rPr>
                <w:sz w:val="20"/>
                <w:szCs w:val="20"/>
                <w:color w:val="auto"/>
              </w:rPr>
            </w:pPr>
            <w:r>
              <w:rPr>
                <w:rFonts w:ascii="Arial" w:cs="Arial" w:eastAsia="Arial" w:hAnsi="Arial"/>
                <w:sz w:val="18"/>
                <w:szCs w:val="18"/>
                <w:color w:val="auto"/>
              </w:rPr>
              <w:t>5-10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78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Servers and computers</w:t>
            </w:r>
          </w:p>
        </w:tc>
        <w:tc>
          <w:tcPr>
            <w:tcW w:w="7800" w:type="dxa"/>
            <w:vAlign w:val="bottom"/>
          </w:tcPr>
          <w:p>
            <w:pPr>
              <w:ind w:left="760"/>
              <w:spacing w:after="0"/>
              <w:rPr>
                <w:sz w:val="20"/>
                <w:szCs w:val="20"/>
                <w:color w:val="auto"/>
              </w:rPr>
            </w:pPr>
            <w:r>
              <w:rPr>
                <w:rFonts w:ascii="Arial" w:cs="Arial" w:eastAsia="Arial" w:hAnsi="Arial"/>
                <w:sz w:val="18"/>
                <w:szCs w:val="18"/>
                <w:color w:val="auto"/>
              </w:rPr>
              <w:t>3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78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Repairs and maintenance expenditures, which are not considered improvements and do not extend the useful life of the property and equipment, are expensed as incurred. When the Company retires or disposes its property, equipment and software, it records any gain or loss arising from the retirement or disposal under Other, net in its consolidated statements of operations and comprehensive income.</w:t>
      </w:r>
    </w:p>
    <w:p>
      <w:pPr>
        <w:spacing w:after="0" w:line="177" w:lineRule="exact"/>
        <w:rPr>
          <w:sz w:val="20"/>
          <w:szCs w:val="20"/>
          <w:color w:val="auto"/>
        </w:rPr>
      </w:pPr>
    </w:p>
    <w:p>
      <w:pPr>
        <w:ind w:left="480" w:hanging="472"/>
        <w:spacing w:after="0"/>
        <w:tabs>
          <w:tab w:leader="none" w:pos="4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Finite-lived intangible assets are tested for impairment if impairment indicators arise. The Company amortizes its finite-lived intangible assets from business acquisition using the straight-line method: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Land use right</w:t>
            </w:r>
          </w:p>
        </w:tc>
        <w:tc>
          <w:tcPr>
            <w:tcW w:w="7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over the remaining term of the land use right period</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License right</w:t>
            </w:r>
          </w:p>
        </w:tc>
        <w:tc>
          <w:tcPr>
            <w:tcW w:w="7880" w:type="dxa"/>
            <w:vAlign w:val="bottom"/>
          </w:tcPr>
          <w:p>
            <w:pPr>
              <w:ind w:left="880"/>
              <w:spacing w:after="0"/>
              <w:rPr>
                <w:sz w:val="20"/>
                <w:szCs w:val="20"/>
                <w:color w:val="auto"/>
              </w:rPr>
            </w:pPr>
            <w:r>
              <w:rPr>
                <w:rFonts w:ascii="Arial" w:cs="Arial" w:eastAsia="Arial" w:hAnsi="Arial"/>
                <w:sz w:val="18"/>
                <w:szCs w:val="18"/>
                <w:color w:val="auto"/>
              </w:rPr>
              <w:t>over the license period</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and relationships</w:t>
            </w:r>
          </w:p>
        </w:tc>
        <w:tc>
          <w:tcPr>
            <w:tcW w:w="7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8-10 years</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Technology</w:t>
            </w:r>
          </w:p>
        </w:tc>
        <w:tc>
          <w:tcPr>
            <w:tcW w:w="7880" w:type="dxa"/>
            <w:vAlign w:val="bottom"/>
          </w:tcPr>
          <w:p>
            <w:pPr>
              <w:ind w:left="880"/>
              <w:spacing w:after="0"/>
              <w:rPr>
                <w:sz w:val="20"/>
                <w:szCs w:val="20"/>
                <w:color w:val="auto"/>
              </w:rPr>
            </w:pPr>
            <w:r>
              <w:rPr>
                <w:rFonts w:ascii="Arial" w:cs="Arial" w:eastAsia="Arial" w:hAnsi="Arial"/>
                <w:sz w:val="18"/>
                <w:szCs w:val="18"/>
                <w:color w:val="auto"/>
              </w:rPr>
              <w:t>3 years</w:t>
            </w:r>
          </w:p>
        </w:tc>
      </w:tr>
    </w:tbl>
    <w:p>
      <w:pPr>
        <w:spacing w:after="0" w:line="183"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expenses</w:t>
      </w:r>
    </w:p>
    <w:p>
      <w:pPr>
        <w:spacing w:after="0" w:line="229"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The Company expenses advertising costs as incurred and reports these costs under selling and marketing expense. Advertising expenses totaled approximately RMB242.8 million, RMB370.9 million and RMB466.6 million for the years ended December 31, 2012, 2013 and 2014, respectively.</w:t>
      </w:r>
    </w:p>
    <w:p>
      <w:pPr>
        <w:spacing w:after="0" w:line="12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functional currency of the entities within the Group is RMB, which is also the reporting currency. Transactions denominated in currencies other than RMB are translated into RMB at the exchange rates quoted by the People’s Bank of China (the “PBOC”) prevailing at the dates of the transactions. Monetary assets and liabilities denominated in foreign currencies are translated into RMB using the applicable exchange rates quoted by the PBOC at the balance sheet dates. The resulting exchange differences are included in the consolidated statements of operations and comprehensive income.</w:t>
      </w:r>
    </w:p>
    <w:p>
      <w:pPr>
        <w:spacing w:after="0" w:line="154" w:lineRule="exact"/>
        <w:rPr>
          <w:sz w:val="20"/>
          <w:szCs w:val="20"/>
          <w:color w:val="auto"/>
        </w:rPr>
      </w:pPr>
    </w:p>
    <w:p>
      <w:pPr>
        <w:ind w:right="700"/>
        <w:spacing w:after="0" w:line="312" w:lineRule="auto"/>
        <w:rPr>
          <w:sz w:val="20"/>
          <w:szCs w:val="20"/>
          <w:color w:val="auto"/>
        </w:rPr>
      </w:pPr>
      <w:r>
        <w:rPr>
          <w:rFonts w:ascii="Arial" w:cs="Arial" w:eastAsia="Arial" w:hAnsi="Arial"/>
          <w:sz w:val="16"/>
          <w:szCs w:val="16"/>
          <w:color w:val="auto"/>
        </w:rPr>
        <w:t>Translations of amounts from RMB into United States dollars for the convenience of the reader were calculated at the noon buying rate of US$1.00 = RMB6.2046 on the last trading day of 2014 (December 31, 2014) as set forth in the H.10 statistical release of the U.S. Federal Reserve Board. No representation is made that the RMB amounts could have been, or could be, converted into United States dollars at such rate.</w:t>
      </w:r>
    </w:p>
    <w:p>
      <w:pPr>
        <w:spacing w:after="0" w:line="143" w:lineRule="exact"/>
        <w:rPr>
          <w:sz w:val="20"/>
          <w:szCs w:val="20"/>
          <w:color w:val="auto"/>
        </w:rPr>
      </w:pPr>
    </w:p>
    <w:p>
      <w:pPr>
        <w:ind w:left="480" w:hanging="472"/>
        <w:spacing w:after="0"/>
        <w:tabs>
          <w:tab w:leader="none" w:pos="4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stock options at the grant date fair value of the award under its 2000 Stock Incentive Plan (see Note 20(a)). The Company recognizes the share-based compensation costs, net of a forfeiture rate, on a straight-line basis of 25% a year over a vesting term of four years. The Company adopts the Black-Scholes option pricing model to determine the fair value of stock options and account for share-based compensation cost using an estimated forfeiture rate at the time of grant and revised, if necessary, in subsequent periods if actual forfeitures differ from those estimates.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its 2009 Restricted Share Unit Plan (see Note 20(b)),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7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 On the other hand, for RSUs which will</w:t>
      </w:r>
    </w:p>
    <w:p>
      <w:pPr>
        <w:sectPr>
          <w:pgSz w:w="11900" w:h="16908" w:orient="portrait"/>
          <w:cols w:equalWidth="0" w:num="1">
            <w:col w:w="11460"/>
          </w:cols>
          <w:pgMar w:left="240" w:top="125" w:right="199" w:bottom="0" w:gutter="0" w:footer="0" w:header="0"/>
        </w:sectPr>
      </w:pPr>
    </w:p>
    <w:bookmarkStart w:id="90" w:name="page91"/>
    <w:bookmarkEnd w:id="90"/>
    <w:p>
      <w:pPr>
        <w:jc w:val="both"/>
        <w:ind w:right="120"/>
        <w:spacing w:after="0" w:line="312" w:lineRule="auto"/>
        <w:rPr>
          <w:sz w:val="20"/>
          <w:szCs w:val="20"/>
          <w:color w:val="auto"/>
        </w:rPr>
      </w:pPr>
      <w:r>
        <w:rPr>
          <w:rFonts w:ascii="Arial" w:cs="Arial" w:eastAsia="Arial" w:hAnsi="Arial"/>
          <w:sz w:val="16"/>
          <w:szCs w:val="16"/>
          <w:color w:val="auto"/>
        </w:rPr>
        <w:t>either be settled in stock or cash as discussed above, the Company continues to mark to market such awards and, in accordance with the vesting schedules of such awards, record the resulting potential liabilities under other long-term payables and accrued liabilities which totaled RMB106.2 million and RMB137.0 million, respectively, as of December 31, 2014. There were no significant cash payments for share-based liabilities for the years ended 2012, 2013 and 2014.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2014, Lede Inc., one of the Company’s subsidiaries, adopted a 2014 Stock Incentive Plan (the “Lede Plan”) and granted options exercisable for ordinary shares of Lede Inc. to certain of the Group’s employees (Lede Inc., together with its subsidiaries and VIEs are referred to as “Lede”). The options expire six years from the date of grant and either vest or have a vesting commencement date upon certain conditions being met (“Vesting Commencement Date”). The Company adopts the binomial option pricing model to determine the fair value of stock options and accounts for share-based compensation cost using an estimated forfeiture rate. As of December 31, 2014, there was RMB94.0 million (US$15.2 million) unrecognized compensation cost under the Lede Plan as if all options granted had become fully vested.</w:t>
      </w:r>
    </w:p>
    <w:p>
      <w:pPr>
        <w:spacing w:after="0" w:line="193"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Forfeitures were estimated based on the Company’s weighted average historical forfeiture rate of the past five years. Differences between actual and estimated forfeitures are expensed in the period that the differences occur. See Note 20 for further information regarding share-based compensation assumptions and expense.</w:t>
      </w:r>
    </w:p>
    <w:p>
      <w:pPr>
        <w:spacing w:after="0" w:line="177"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8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 The Company classifies deferred tax assets and liabilities into current and non-current based on the classification of the related asset or liability for financial reporting. A deferred tax liability or asset that is not related to an asset or liability for financial reporting, including deferred tax assets related to tax loss carry forwards, is classified according to the expected reversal date of the temporary difference.</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Valuation allowances are established, when necessary, to reduce deferred tax assets to the amount “more likely than not” to be realized in future tax returns. The valuation allowance for a particular tax jurisdiction is allocated between current and non-current deferred tax assets for that tax jurisdiction on a pro rata basis.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a particular tax-paying component of an enterprise and within a particular tax jurisdiction, (a) all current deferred tax assets and liabilities are offset and presented as a single amount and (b) all non-current deferred tax assets and liabilities are offset and presented as a single amount. The Company does not offset deferred tax assets and liabilities attributable to different tax-paying components of the enterprise or to different tax jurisdictions.</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reports tax-related interest expense and penalty in Other, net in the consolidated statements of operations and comprehensive income, if there is any. The Company did not incur any material penalty or interest payments in connection with tax positions during the years ended December 31, 2012, 2013 and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significant unrecognized uncertain tax positions as of December 31, 2013 and 2014.</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order to assess uncertain tax positions, the Company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50" w:lineRule="exact"/>
        <w:rPr>
          <w:sz w:val="20"/>
          <w:szCs w:val="20"/>
          <w:color w:val="auto"/>
        </w:rPr>
      </w:pPr>
    </w:p>
    <w:p>
      <w:pPr>
        <w:ind w:left="480" w:hanging="454"/>
        <w:spacing w:after="0"/>
        <w:tabs>
          <w:tab w:leader="none" w:pos="4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share (“EPS”) and per American Depositary Share (“ADS”)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are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83" w:lineRule="exact"/>
        <w:rPr>
          <w:sz w:val="20"/>
          <w:szCs w:val="20"/>
          <w:color w:val="auto"/>
        </w:rPr>
      </w:pPr>
    </w:p>
    <w:p>
      <w:pPr>
        <w:ind w:left="480" w:hanging="472"/>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and (ii)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91" w:name="page92"/>
    <w:bookmarkEnd w:id="91"/>
    <w:p>
      <w:pPr>
        <w:spacing w:after="0" w:line="6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can be used to offset accumulated losses or to increase capital.</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staff bonus and welfare fund is a liability in nature. The other statutory reserves are not transferable to the Company in the form of cash dividends, loans or advances, and therefore are not available for distribution except in liquidation.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Group’s appropriations to general reserve funds and statutory surplus funds for the years ended December 31, 2012, 2013 and 2014 (in thousands):</w:t>
      </w:r>
    </w:p>
    <w:p>
      <w:pPr>
        <w:spacing w:after="0" w:line="16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4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1080" w:type="dxa"/>
            <w:vAlign w:val="bottom"/>
          </w:tcPr>
          <w:p>
            <w:pPr>
              <w:jc w:val="center"/>
              <w:ind w:left="568"/>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Appropriations to general reserve funds and statutory surplus funds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161,522</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244,358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years ended December 31, 2012 and 2013, NetEase Beijing and Boguan, as well as Netease Hangzhou for the year ended December 31, 2014, did not make appropriations to statutory reserves as their cumulative appropriations in the past have already reached the statutory limit, namely 50% of the registered capital of the respective companies.</w:t>
      </w:r>
    </w:p>
    <w:p>
      <w:pPr>
        <w:spacing w:after="0" w:line="177"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and Mezzanine classified noncontrolling interests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Noncontrolling interests are recognized to reflect the portion of the equity of majority-owned subsidiaries and VIEs which is not attributable, directly or indirectly, to the controlling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noncontrolling interest will continue to be attributed its share of losses even if that attribution results in a deficit noncontrolling interest balance.</w:t>
      </w:r>
    </w:p>
    <w:p>
      <w:pPr>
        <w:spacing w:after="0" w:line="237"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Mezzanine classified noncontrolling interests represent Series A convertible redeemable preferred shares (“preferred shares”) issued by Lede Inc. to certain investors (see Note 17), and have been classified as mezzanine classified noncontrolling interests in the consolidated financial statements as these preferred shares are contingently redeemable upon the occurrence of a conditional event (see Note 20(f)), which is not solely within the control of the Company. The carrying value of this non-controlling interest as mezzanine equity will be adjusted by an accumulative amount equal to the amount of net profit attributable to preferred shareholders based on their ownership percentage.</w:t>
      </w:r>
    </w:p>
    <w:p>
      <w:pPr>
        <w:spacing w:after="0" w:line="184"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77" w:lineRule="exact"/>
        <w:rPr>
          <w:sz w:val="20"/>
          <w:szCs w:val="20"/>
          <w:color w:val="auto"/>
        </w:rPr>
      </w:pPr>
    </w:p>
    <w:p>
      <w:pPr>
        <w:ind w:left="480" w:hanging="472"/>
        <w:spacing w:after="0"/>
        <w:tabs>
          <w:tab w:leader="none" w:pos="4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defined as the change in equity of the Company during a period arising from transactions and other events and circumstances excluding transactions resulting from investments by shareholders and distributions to shareholders. The Group’s comprehensive income and net income were the same during the years ended December 31, 2012, 2013 and 2014.</w:t>
      </w:r>
    </w:p>
    <w:p>
      <w:pPr>
        <w:spacing w:after="0" w:line="177" w:lineRule="exact"/>
        <w:rPr>
          <w:sz w:val="20"/>
          <w:szCs w:val="20"/>
          <w:color w:val="auto"/>
        </w:rPr>
      </w:pPr>
    </w:p>
    <w:p>
      <w:pPr>
        <w:ind w:left="480" w:hanging="472"/>
        <w:spacing w:after="0"/>
        <w:tabs>
          <w:tab w:leader="none" w:pos="4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Group’s internal organizational structure as well as information about geographical areas, business segments and major customers in financial statements is set out in detail under Note 26.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of the Company are recognized when declared.</w:t>
      </w:r>
    </w:p>
    <w:p>
      <w:pPr>
        <w:spacing w:after="0" w:line="221" w:lineRule="exact"/>
        <w:rPr>
          <w:sz w:val="20"/>
          <w:szCs w:val="20"/>
          <w:color w:val="auto"/>
        </w:rPr>
      </w:pPr>
    </w:p>
    <w:p>
      <w:pPr>
        <w:ind w:left="480" w:hanging="472"/>
        <w:spacing w:after="0"/>
        <w:tabs>
          <w:tab w:leader="none" w:pos="4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May 2014, the FASB and IASB issued their converged standard on revenue recognition. The objective of the revenue standard ASU 2014-09, “Revenue from Contracts with Customers (Topic 606)” is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For public companies, the revenue standard is effective for the first interim period within annual reporting periods beginning after December 15, 2016 and early adoption is not permitted. The Company is in the process of evaluating the impact of the standard on its consolidated financial statements.</w:t>
      </w:r>
    </w:p>
    <w:p>
      <w:pPr>
        <w:spacing w:after="0" w:line="163"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Risks</w:t>
      </w:r>
    </w:p>
    <w:p>
      <w:pPr>
        <w:spacing w:after="0" w:line="225" w:lineRule="exact"/>
        <w:rPr>
          <w:sz w:val="20"/>
          <w:szCs w:val="20"/>
          <w:color w:val="auto"/>
        </w:rPr>
      </w:pPr>
    </w:p>
    <w:p>
      <w:pPr>
        <w:ind w:left="480" w:hanging="472"/>
        <w:spacing w:after="0"/>
        <w:tabs>
          <w:tab w:leader="none" w:pos="4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Bandwidth and server custody service provider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Group relied on telecommunications service providers and their affiliates for bandwidth and server custody service to support its operations during fiscal years 2012, 2013 and 2014 as follows:</w:t>
      </w:r>
    </w:p>
    <w:p>
      <w:pPr>
        <w:sectPr>
          <w:pgSz w:w="11900" w:h="16900" w:orient="portrait"/>
          <w:cols w:equalWidth="0" w:num="1">
            <w:col w:w="11420"/>
          </w:cols>
          <w:pgMar w:left="240" w:top="125" w:right="239" w:bottom="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23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20" w:type="dxa"/>
            <w:vAlign w:val="bottom"/>
          </w:tcPr>
          <w:p>
            <w:pPr>
              <w:spacing w:after="0"/>
              <w:rPr>
                <w:sz w:val="12"/>
                <w:szCs w:val="12"/>
                <w:color w:val="auto"/>
              </w:rPr>
            </w:pPr>
          </w:p>
        </w:tc>
        <w:tc>
          <w:tcPr>
            <w:tcW w:w="108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2012</w:t>
            </w:r>
          </w:p>
        </w:tc>
        <w:tc>
          <w:tcPr>
            <w:tcW w:w="14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216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r>
      <w:tr>
        <w:trPr>
          <w:trHeight w:val="91"/>
        </w:trPr>
        <w:tc>
          <w:tcPr>
            <w:tcW w:w="582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r>
    </w:tbl>
    <w:p>
      <w:pPr>
        <w:sectPr>
          <w:pgSz w:w="11900" w:h="16900" w:orient="portrait"/>
          <w:cols w:equalWidth="0" w:num="1">
            <w:col w:w="11420"/>
          </w:cols>
          <w:pgMar w:left="240" w:top="125" w:right="239" w:bottom="0" w:gutter="0" w:footer="0" w:header="0"/>
          <w:type w:val="continuous"/>
        </w:sectPr>
      </w:pPr>
    </w:p>
    <w:bookmarkStart w:id="92" w:name="page93"/>
    <w:bookmarkEnd w:id="92"/>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telecommunications service providers</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w:t>
            </w:r>
          </w:p>
        </w:tc>
        <w:tc>
          <w:tcPr>
            <w:tcW w:w="16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13</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Number of service providers provided by 10% or more of the Company’s</w:t>
            </w:r>
          </w:p>
        </w:tc>
        <w:tc>
          <w:tcPr>
            <w:tcW w:w="1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bandwidth and server custody expenditure</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1640" w:type="dxa"/>
            <w:vAlign w:val="bottom"/>
          </w:tcPr>
          <w:p>
            <w:pPr>
              <w:jc w:val="right"/>
              <w:ind w:right="650"/>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 of the Company’s bandwidth and server custody expenditure</w:t>
            </w:r>
          </w:p>
        </w:tc>
        <w:tc>
          <w:tcPr>
            <w:tcW w:w="1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10% or greater service providers</w:t>
            </w:r>
          </w:p>
        </w:tc>
        <w:tc>
          <w:tcPr>
            <w:tcW w:w="18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82.1%</w:t>
            </w:r>
          </w:p>
        </w:tc>
        <w:tc>
          <w:tcPr>
            <w:tcW w:w="1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bl>
    <w:p>
      <w:pPr>
        <w:spacing w:after="0" w:line="198" w:lineRule="exact"/>
        <w:rPr>
          <w:sz w:val="20"/>
          <w:szCs w:val="20"/>
          <w:color w:val="auto"/>
        </w:rPr>
      </w:pPr>
    </w:p>
    <w:p>
      <w:pPr>
        <w:ind w:left="480" w:hanging="472"/>
        <w:spacing w:after="0"/>
        <w:tabs>
          <w:tab w:leader="none" w:pos="4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Financial instruments that potentially subject the Group to significant concentrations of credit risk consist primarily of cash and cash equivalents, time deposits, restricted cash, accounts receivable and short-term investments. As of December 31, 2013 and 2014, substantially all of the Company’s cash equivalents, time deposits and restricted cash were held in major financial institutions located in the PRC or Hong Kong, which management consider being of high credit quality. Accounts receivable are typically unsecured and are generally derived from revenue earned from advertising services. One single customer has a receivable balance exceeding 10% of the total accounts receivable balance for the year ended December 31, 2013 and no single customer has a receivable balance exceeding 10% of the total accounts receivable balance for the year ended December 31, 2014,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4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5"/>
              </w:rPr>
              <w:t>Below 10%</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Not applicable</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r>
    </w:tbl>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Short-term investments consist of the held-to-maturity investment of fixed-rate corporate bonds of well-known Chinese companies and other short-term investments of financial products issued by commercial banks in China with a variable interest rate indexed to performance of underlying assets, both have a maturity date within one year as of the purchase date. The held-to-maturity investments have a credit rating of Aa or Aaa by Moody’s Investors Service, or</w:t>
      </w:r>
    </w:p>
    <w:p>
      <w:pPr>
        <w:ind w:right="60" w:firstLine="8"/>
        <w:spacing w:after="0" w:line="254" w:lineRule="auto"/>
        <w:tabs>
          <w:tab w:leader="none" w:pos="3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or AAA by Standard &amp; Poor’s Corp., or an equivalent rating by another reputable PRC licensed rating service agency. The effective yields of the held-to-maturity investments and other short-term investments range from 3.05% to 5.18% per annum. Any negative events or deterioration in financial well-being with respect to the counterparties of the above investments and the underlying collateral may cause a material loss to the Company and have a material effect on the Company’s financial condition and results of operations.</w:t>
      </w:r>
    </w:p>
    <w:p>
      <w:pPr>
        <w:spacing w:after="0" w:line="186" w:lineRule="exact"/>
        <w:rPr>
          <w:sz w:val="20"/>
          <w:szCs w:val="20"/>
          <w:color w:val="auto"/>
        </w:rPr>
      </w:pPr>
    </w:p>
    <w:p>
      <w:pPr>
        <w:ind w:left="480" w:hanging="472"/>
        <w:spacing w:after="0"/>
        <w:tabs>
          <w:tab w:leader="none" w:pos="4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the Company’s total revenues for the years ended December 31, 2012, 2013 and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80" w:hanging="472"/>
        <w:spacing w:after="0"/>
        <w:tabs>
          <w:tab w:leader="none" w:pos="4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Online Games</w:t>
      </w:r>
    </w:p>
    <w:p>
      <w:pPr>
        <w:spacing w:after="0" w:line="229"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Company derived a combined total of 93.7%, 90.9% and 89.8% of its total net game revenues for the years ended December 31, 2012, 2013 and 2014, respectively, from several of the Company’s self-developed massively multi-player online role-playing games, including Fantasy Westward Journey II (a comprehensive upgrade from Fantasy Westward Journey), New Westward Journey Online II (a comprehensive upgrade from Westward Journey Online II), Tianxia III, Ghost II (a comprehensive upgrade from Ghost) and Heroes of Tang Dynasty Zero (a comprehensive upgrade from Heroes of Tang Dynasty II), as well as World of Warcraft</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and Hearthstone</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Heroes of Warcraft™, two games developed by and licensed from Blizzard.</w:t>
      </w:r>
    </w:p>
    <w:p>
      <w:pPr>
        <w:spacing w:after="0" w:line="69" w:lineRule="exact"/>
        <w:rPr>
          <w:sz w:val="20"/>
          <w:szCs w:val="20"/>
          <w:color w:val="auto"/>
        </w:rPr>
      </w:pPr>
    </w:p>
    <w:p>
      <w:pPr>
        <w:ind w:left="480" w:hanging="472"/>
        <w:spacing w:after="0"/>
        <w:tabs>
          <w:tab w:leader="none" w:pos="4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Chinese Regulations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Chinese market in which the Group operates exposes the Company to certain macro-economic and regulatory risks and uncertainties. These uncertainties extend to the ability of the Group to provide Internet services through contractual arrangements in China as this industry remains highly regulated. The Chinese government may issue from time to time new laws or new interpretations on existing laws to regulate this industry. In January 2015, the Ministry of Commerce published a discussion draft of the proposed Foreign Investment Law. Among other things, the draft Foreign Investment Law expands the definition of foreign investment and introduces the principle of ‘‘actual control’’ in determining whether a company is considered a foreign-invested enterprise. If the actual controlling person(s) is/are of foreign nationalities, then the variable interest entities will be treated as foreign-invested enterprises and any operation in the industry category on the ‘‘negative list’’ without market entry clearance may be considered as illegal. It is uncertain whether the Company would be considered as ultimately controlled by Chinese parties under the draft Foreign Investment Law. Moreover, the draft Foreign Investment Law has not taken a position on what actions will be taken with respect to the existing companies with a VIE structure. Further, it is uncertain when or if the draft Foreign Investment Law will be passed and if it is, when it will become effective. In addition, it is uncertain whether the industries of online games, portal and other virtual products, in which the Company’s VIEs operate, will be subject to the foreign investment restrictions or prohibitions set forth in the ‘‘negative list’’ that is to be issued. If the enacted version of the Foreign Investment Law and the final ‘‘negative list’’ mandate further actions, such as market entry clearance or certain restructuring of the Company’s corporate structure and operations, to be completed by companies with existing VIE structures, there may be substantial uncertainties as to whether the Company can complete these actions in a timely manner, or at all, and the Company’s business and financial condition may be materially and adversely affected.</w:t>
      </w:r>
    </w:p>
    <w:p>
      <w:pPr>
        <w:spacing w:after="0" w:line="18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Regulatory risk also encompasses the interpretation by the tax authorities of current tax laws, the status of properties leased for the Group’s operations, its legal structure and scope of operations in China, which could be subject to further restrictions resulting in limitations on the Company’s ability to conduct business in China.</w:t>
      </w:r>
    </w:p>
    <w:p>
      <w:pPr>
        <w:spacing w:after="0" w:line="177"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closely monitors the collection of its accounts receivables and records a reserve for doubtful accounts against aged accounts and for specifically identified non-recoverable amounts. If the economic situation and the financial condition of the customer deteriorate resulting in an impairment of the customer’s ability to make payments, additional allowances might be required. Receivable balances are written off when they are determined to be uncollectible. The following table sets out the movements of the allowance for doubtful accounts for the years ended December 31, 2012, 2013 and 2014 (in thousands):</w:t>
      </w:r>
    </w:p>
    <w:p>
      <w:pPr>
        <w:sectPr>
          <w:pgSz w:w="11900" w:h="16847" w:orient="portrait"/>
          <w:cols w:equalWidth="0" w:num="1">
            <w:col w:w="11420"/>
          </w:cols>
          <w:pgMar w:left="240" w:top="140" w:right="239" w:bottom="0" w:gutter="0" w:footer="0" w:header="0"/>
        </w:sectPr>
      </w:pPr>
    </w:p>
    <w:p>
      <w:pPr>
        <w:spacing w:after="0" w:line="180" w:lineRule="exact"/>
        <w:rPr>
          <w:sz w:val="20"/>
          <w:szCs w:val="20"/>
          <w:color w:val="auto"/>
        </w:rPr>
      </w:pPr>
    </w:p>
    <w:p>
      <w:pPr>
        <w:ind w:left="3480"/>
        <w:spacing w:after="0"/>
        <w:tabs>
          <w:tab w:leader="none" w:pos="5000" w:val="left"/>
          <w:tab w:leader="none" w:pos="7180" w:val="left"/>
          <w:tab w:leader="none" w:pos="9040" w:val="left"/>
        </w:tabs>
        <w:rPr>
          <w:sz w:val="20"/>
          <w:szCs w:val="20"/>
          <w:color w:val="auto"/>
        </w:rPr>
      </w:pPr>
      <w:r>
        <w:rPr>
          <w:rFonts w:ascii="Arial" w:cs="Arial" w:eastAsia="Arial" w:hAnsi="Arial"/>
          <w:sz w:val="14"/>
          <w:szCs w:val="14"/>
          <w:b w:val="1"/>
          <w:bCs w:val="1"/>
          <w:color w:val="auto"/>
        </w:rPr>
        <w:t>Balance at</w:t>
      </w:r>
      <w:r>
        <w:rPr>
          <w:sz w:val="20"/>
          <w:szCs w:val="20"/>
          <w:color w:val="auto"/>
        </w:rPr>
        <w:tab/>
      </w:r>
      <w:r>
        <w:rPr>
          <w:rFonts w:ascii="Arial" w:cs="Arial" w:eastAsia="Arial" w:hAnsi="Arial"/>
          <w:sz w:val="14"/>
          <w:szCs w:val="14"/>
          <w:b w:val="1"/>
          <w:bCs w:val="1"/>
          <w:color w:val="auto"/>
        </w:rPr>
        <w:t>Charged to (write-</w:t>
      </w:r>
      <w:r>
        <w:rPr>
          <w:sz w:val="20"/>
          <w:szCs w:val="20"/>
          <w:color w:val="auto"/>
        </w:rPr>
        <w:tab/>
      </w:r>
      <w:r>
        <w:rPr>
          <w:rFonts w:ascii="Arial" w:cs="Arial" w:eastAsia="Arial" w:hAnsi="Arial"/>
          <w:sz w:val="14"/>
          <w:szCs w:val="14"/>
          <w:b w:val="1"/>
          <w:bCs w:val="1"/>
          <w:color w:val="auto"/>
        </w:rPr>
        <w:t>Write-off of</w:t>
      </w:r>
      <w:r>
        <w:rPr>
          <w:sz w:val="20"/>
          <w:szCs w:val="20"/>
          <w:color w:val="auto"/>
        </w:rPr>
        <w:tab/>
      </w:r>
      <w:r>
        <w:rPr>
          <w:rFonts w:ascii="Arial" w:cs="Arial" w:eastAsia="Arial" w:hAnsi="Arial"/>
          <w:sz w:val="12"/>
          <w:szCs w:val="12"/>
          <w:b w:val="1"/>
          <w:bCs w:val="1"/>
          <w:color w:val="auto"/>
        </w:rPr>
        <w:t>Balance at</w:t>
      </w:r>
    </w:p>
    <w:p>
      <w:pPr>
        <w:sectPr>
          <w:pgSz w:w="11900" w:h="16847" w:orient="portrait"/>
          <w:cols w:equalWidth="0" w:num="1">
            <w:col w:w="11420"/>
          </w:cols>
          <w:pgMar w:left="240" w:top="140" w:right="239" w:bottom="0" w:gutter="0" w:footer="0" w:header="0"/>
          <w:type w:val="continuous"/>
        </w:sectPr>
      </w:pPr>
    </w:p>
    <w:bookmarkStart w:id="93" w:name="page94"/>
    <w:bookmarkEnd w:id="93"/>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back against) cost</w:t>
            </w:r>
          </w:p>
        </w:tc>
        <w:tc>
          <w:tcPr>
            <w:tcW w:w="22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receivable balances</w:t>
            </w:r>
          </w:p>
        </w:tc>
        <w:tc>
          <w:tcPr>
            <w:tcW w:w="17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4"/>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and expenses</w:t>
            </w:r>
          </w:p>
        </w:tc>
        <w:tc>
          <w:tcPr>
            <w:tcW w:w="22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and corresponding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0"/>
              </w:rPr>
              <w:t>provisions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60" w:type="dxa"/>
            <w:vAlign w:val="bottom"/>
            <w:tcBorders>
              <w:top w:val="single" w:sz="8" w:color="auto"/>
            </w:tcBorders>
          </w:tcPr>
          <w:p>
            <w:pPr>
              <w:jc w:val="center"/>
              <w:ind w:left="448"/>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w w:val="84"/>
              </w:rPr>
              <w:t>2012</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7,972</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3,088</w:t>
            </w:r>
          </w:p>
        </w:tc>
        <w:tc>
          <w:tcPr>
            <w:tcW w:w="200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10,392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jc w:val="right"/>
              <w:ind w:right="2010"/>
              <w:spacing w:after="0"/>
              <w:rPr>
                <w:sz w:val="20"/>
                <w:szCs w:val="20"/>
                <w:color w:val="auto"/>
              </w:rPr>
            </w:pPr>
            <w:r>
              <w:rPr>
                <w:rFonts w:ascii="Arial" w:cs="Arial" w:eastAsia="Arial" w:hAnsi="Arial"/>
                <w:sz w:val="18"/>
                <w:szCs w:val="18"/>
                <w:color w:val="auto"/>
                <w:w w:val="84"/>
              </w:rPr>
              <w:t>2013</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10,392</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(2,007)</w:t>
            </w:r>
          </w:p>
        </w:tc>
        <w:tc>
          <w:tcPr>
            <w:tcW w:w="2000" w:type="dxa"/>
            <w:vAlign w:val="bottom"/>
            <w:gridSpan w:val="3"/>
          </w:tcPr>
          <w:p>
            <w:pPr>
              <w:ind w:left="13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8,275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w w:val="84"/>
              </w:rPr>
              <w:t>2014</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2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5.</w:t>
            </w:r>
          </w:p>
        </w:tc>
        <w:tc>
          <w:tcPr>
            <w:tcW w:w="3820" w:type="dxa"/>
            <w:vAlign w:val="bottom"/>
            <w:gridSpan w:val="3"/>
          </w:tcPr>
          <w:p>
            <w:pPr>
              <w:ind w:left="300"/>
              <w:spacing w:after="0"/>
              <w:rPr>
                <w:sz w:val="20"/>
                <w:szCs w:val="20"/>
                <w:color w:val="auto"/>
              </w:rPr>
            </w:pPr>
            <w:r>
              <w:rPr>
                <w:rFonts w:ascii="Arial" w:cs="Arial" w:eastAsia="Arial" w:hAnsi="Arial"/>
                <w:sz w:val="18"/>
                <w:szCs w:val="18"/>
                <w:b w:val="1"/>
                <w:bCs w:val="1"/>
                <w:color w:val="auto"/>
              </w:rPr>
              <w:t>Prepayments and Other Current Assets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gridSpan w:val="8"/>
          </w:tcPr>
          <w:p>
            <w:pPr>
              <w:spacing w:after="0"/>
              <w:rPr>
                <w:sz w:val="20"/>
                <w:szCs w:val="20"/>
                <w:color w:val="auto"/>
              </w:rPr>
            </w:pPr>
            <w:r>
              <w:rPr>
                <w:rFonts w:ascii="Arial" w:cs="Arial" w:eastAsia="Arial" w:hAnsi="Arial"/>
                <w:sz w:val="18"/>
                <w:szCs w:val="18"/>
                <w:color w:val="auto"/>
                <w:w w:val="99"/>
              </w:rPr>
              <w:t>The following is a summary of prepayments and other current assets (in thousands):</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136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left="6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Guarantee payment made to Blizzard - royalty fees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374,877</w:t>
            </w:r>
          </w:p>
        </w:tc>
        <w:tc>
          <w:tcPr>
            <w:tcW w:w="1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313,342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6"/>
          </w:tcPr>
          <w:p>
            <w:pPr>
              <w:spacing w:after="0"/>
              <w:rPr>
                <w:sz w:val="20"/>
                <w:szCs w:val="20"/>
                <w:color w:val="auto"/>
              </w:rPr>
            </w:pPr>
            <w:r>
              <w:rPr>
                <w:rFonts w:ascii="Arial" w:cs="Arial" w:eastAsia="Arial" w:hAnsi="Arial"/>
                <w:sz w:val="18"/>
                <w:szCs w:val="18"/>
                <w:color w:val="auto"/>
                <w:w w:val="94"/>
              </w:rPr>
              <w:t>Prepayment for royalties, revenue sharing cost - current portion</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color w:val="auto"/>
              </w:rPr>
              <w:t>221,921</w:t>
            </w:r>
          </w:p>
        </w:tc>
        <w:tc>
          <w:tcPr>
            <w:tcW w:w="1740" w:type="dxa"/>
            <w:vAlign w:val="bottom"/>
            <w:gridSpan w:val="5"/>
          </w:tcPr>
          <w:p>
            <w:pPr>
              <w:jc w:val="right"/>
              <w:ind w:right="120"/>
              <w:spacing w:after="0"/>
              <w:rPr>
                <w:sz w:val="20"/>
                <w:szCs w:val="20"/>
                <w:color w:val="auto"/>
              </w:rPr>
            </w:pPr>
            <w:r>
              <w:rPr>
                <w:rFonts w:ascii="Arial" w:cs="Arial" w:eastAsia="Arial" w:hAnsi="Arial"/>
                <w:sz w:val="18"/>
                <w:szCs w:val="18"/>
                <w:color w:val="auto"/>
              </w:rPr>
              <w:t>360,499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246,178</w:t>
            </w:r>
          </w:p>
        </w:tc>
        <w:tc>
          <w:tcPr>
            <w:tcW w:w="1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305,063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8"/>
          </w:tcPr>
          <w:p>
            <w:pPr>
              <w:spacing w:after="0"/>
              <w:rPr>
                <w:sz w:val="20"/>
                <w:szCs w:val="20"/>
                <w:color w:val="auto"/>
              </w:rPr>
            </w:pPr>
            <w:r>
              <w:rPr>
                <w:rFonts w:ascii="Arial" w:cs="Arial" w:eastAsia="Arial" w:hAnsi="Arial"/>
                <w:sz w:val="18"/>
                <w:szCs w:val="18"/>
                <w:color w:val="auto"/>
              </w:rPr>
              <w:t>Prepayments of content and marketing cost and other operational expenses</w:t>
            </w:r>
          </w:p>
        </w:tc>
        <w:tc>
          <w:tcPr>
            <w:tcW w:w="2220" w:type="dxa"/>
            <w:vAlign w:val="bottom"/>
            <w:gridSpan w:val="5"/>
          </w:tcPr>
          <w:p>
            <w:pPr>
              <w:jc w:val="right"/>
              <w:ind w:right="20"/>
              <w:spacing w:after="0"/>
              <w:rPr>
                <w:sz w:val="20"/>
                <w:szCs w:val="20"/>
                <w:color w:val="auto"/>
              </w:rPr>
            </w:pPr>
            <w:r>
              <w:rPr>
                <w:rFonts w:ascii="Arial" w:cs="Arial" w:eastAsia="Arial" w:hAnsi="Arial"/>
                <w:sz w:val="18"/>
                <w:szCs w:val="18"/>
                <w:color w:val="auto"/>
              </w:rPr>
              <w:t>73,693</w:t>
            </w:r>
          </w:p>
        </w:tc>
        <w:tc>
          <w:tcPr>
            <w:tcW w:w="1740" w:type="dxa"/>
            <w:vAlign w:val="bottom"/>
            <w:gridSpan w:val="5"/>
          </w:tcPr>
          <w:p>
            <w:pPr>
              <w:jc w:val="right"/>
              <w:ind w:right="120"/>
              <w:spacing w:after="0"/>
              <w:rPr>
                <w:sz w:val="20"/>
                <w:szCs w:val="20"/>
                <w:color w:val="auto"/>
              </w:rPr>
            </w:pPr>
            <w:r>
              <w:rPr>
                <w:rFonts w:ascii="Arial" w:cs="Arial" w:eastAsia="Arial" w:hAnsi="Arial"/>
                <w:sz w:val="18"/>
                <w:szCs w:val="18"/>
                <w:color w:val="auto"/>
              </w:rPr>
              <w:t>145,445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Prepayment for sales tax</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77,436</w:t>
            </w:r>
          </w:p>
        </w:tc>
        <w:tc>
          <w:tcPr>
            <w:tcW w:w="1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105,096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4"/>
          </w:tcPr>
          <w:p>
            <w:pPr>
              <w:spacing w:after="0"/>
              <w:rPr>
                <w:sz w:val="20"/>
                <w:szCs w:val="20"/>
                <w:color w:val="auto"/>
              </w:rPr>
            </w:pPr>
            <w:r>
              <w:rPr>
                <w:rFonts w:ascii="Arial" w:cs="Arial" w:eastAsia="Arial" w:hAnsi="Arial"/>
                <w:sz w:val="18"/>
                <w:szCs w:val="18"/>
                <w:color w:val="auto"/>
                <w:w w:val="94"/>
              </w:rPr>
              <w:t>Bridge loans in connection with ongoing investments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color w:val="auto"/>
              </w:rPr>
              <w:t>13,800</w:t>
            </w:r>
          </w:p>
        </w:tc>
        <w:tc>
          <w:tcPr>
            <w:tcW w:w="1740" w:type="dxa"/>
            <w:vAlign w:val="bottom"/>
            <w:gridSpan w:val="5"/>
          </w:tcPr>
          <w:p>
            <w:pPr>
              <w:jc w:val="right"/>
              <w:ind w:right="120"/>
              <w:spacing w:after="0"/>
              <w:rPr>
                <w:sz w:val="20"/>
                <w:szCs w:val="20"/>
                <w:color w:val="auto"/>
              </w:rPr>
            </w:pPr>
            <w:r>
              <w:rPr>
                <w:rFonts w:ascii="Arial" w:cs="Arial" w:eastAsia="Arial" w:hAnsi="Arial"/>
                <w:sz w:val="18"/>
                <w:szCs w:val="18"/>
                <w:color w:val="auto"/>
              </w:rPr>
              <w:t>57,168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Deposits to vendors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14,438</w:t>
            </w:r>
          </w:p>
        </w:tc>
        <w:tc>
          <w:tcPr>
            <w:tcW w:w="1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69,961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4"/>
          </w:tcPr>
          <w:p>
            <w:pPr>
              <w:spacing w:after="0"/>
              <w:rPr>
                <w:sz w:val="20"/>
                <w:szCs w:val="20"/>
                <w:color w:val="auto"/>
              </w:rPr>
            </w:pPr>
            <w:r>
              <w:rPr>
                <w:rFonts w:ascii="Arial" w:cs="Arial" w:eastAsia="Arial" w:hAnsi="Arial"/>
                <w:sz w:val="18"/>
                <w:szCs w:val="18"/>
                <w:color w:val="auto"/>
              </w:rPr>
              <w:t>Employee advances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color w:val="auto"/>
              </w:rPr>
              <w:t>21,755</w:t>
            </w:r>
          </w:p>
        </w:tc>
        <w:tc>
          <w:tcPr>
            <w:tcW w:w="1740" w:type="dxa"/>
            <w:vAlign w:val="bottom"/>
            <w:gridSpan w:val="5"/>
          </w:tcPr>
          <w:p>
            <w:pPr>
              <w:jc w:val="right"/>
              <w:ind w:right="120"/>
              <w:spacing w:after="0"/>
              <w:rPr>
                <w:sz w:val="20"/>
                <w:szCs w:val="20"/>
                <w:color w:val="auto"/>
              </w:rPr>
            </w:pPr>
            <w:r>
              <w:rPr>
                <w:rFonts w:ascii="Arial" w:cs="Arial" w:eastAsia="Arial" w:hAnsi="Arial"/>
                <w:sz w:val="18"/>
                <w:szCs w:val="18"/>
                <w:color w:val="auto"/>
              </w:rPr>
              <w:t>27,118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3"/>
              </w:rPr>
              <w:t>Wangyibao operating funds held by third party online payment platform settlement service</w:t>
            </w: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providers</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74,793</w:t>
            </w:r>
          </w:p>
        </w:tc>
        <w:tc>
          <w:tcPr>
            <w:tcW w:w="1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22,777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gridSpan w:val="4"/>
          </w:tcPr>
          <w:p>
            <w:pPr>
              <w:spacing w:after="0"/>
              <w:rPr>
                <w:sz w:val="20"/>
                <w:szCs w:val="20"/>
                <w:color w:val="auto"/>
              </w:rPr>
            </w:pPr>
            <w:r>
              <w:rPr>
                <w:rFonts w:ascii="Arial" w:cs="Arial" w:eastAsia="Arial" w:hAnsi="Arial"/>
                <w:sz w:val="18"/>
                <w:szCs w:val="18"/>
                <w:color w:val="auto"/>
              </w:rPr>
              <w:t>Others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color w:val="auto"/>
              </w:rPr>
              <w:t>25,381</w:t>
            </w:r>
          </w:p>
        </w:tc>
        <w:tc>
          <w:tcPr>
            <w:tcW w:w="1740" w:type="dxa"/>
            <w:vAlign w:val="bottom"/>
            <w:gridSpan w:val="5"/>
          </w:tcPr>
          <w:p>
            <w:pPr>
              <w:jc w:val="right"/>
              <w:ind w:right="120"/>
              <w:spacing w:after="0"/>
              <w:rPr>
                <w:sz w:val="20"/>
                <w:szCs w:val="20"/>
                <w:color w:val="auto"/>
              </w:rPr>
            </w:pPr>
            <w:r>
              <w:rPr>
                <w:rFonts w:ascii="Arial" w:cs="Arial" w:eastAsia="Arial" w:hAnsi="Arial"/>
                <w:sz w:val="18"/>
                <w:szCs w:val="18"/>
                <w:color w:val="auto"/>
              </w:rPr>
              <w:t>45,450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1,144,272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1,451,919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vMerge w:val="restart"/>
          </w:tcPr>
          <w:p>
            <w:pPr>
              <w:jc w:val="right"/>
              <w:ind w:right="820"/>
              <w:spacing w:after="0"/>
              <w:rPr>
                <w:sz w:val="20"/>
                <w:szCs w:val="20"/>
                <w:color w:val="auto"/>
              </w:rPr>
            </w:pPr>
            <w:r>
              <w:rPr>
                <w:rFonts w:ascii="Arial" w:cs="Arial" w:eastAsia="Arial" w:hAnsi="Arial"/>
                <w:sz w:val="18"/>
                <w:szCs w:val="18"/>
                <w:color w:val="auto"/>
              </w:rPr>
              <w:t>F-20</w:t>
            </w:r>
          </w:p>
        </w:tc>
        <w:tc>
          <w:tcPr>
            <w:tcW w:w="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In accordance with the license agreements of World of Warcraft, StarCraft</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II: Wings of Liberty</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and Hearthstone: Heroes of Warcraft, the Company made certain guarantee payments to Blizzard on behalf of Shanghai EaseNet for the minimum guaranteed royalties as of December 31, 2013 and 2014. The guarantee amounts will be released to the Company when actual royalties are paid by Shanghai EaseNet to Blizzard.</w:t>
      </w:r>
    </w:p>
    <w:p>
      <w:pPr>
        <w:spacing w:after="0" w:line="1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2013 and 2014, prepayments for royalties and revenue sharing cost representing prepaid royalties or revenue sharing cost related to operations of licensed PC and mobile games.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February 2009, the Company launched its Wangyibao online payment platform, through which game players registered for Wangyibao online payment services can deposit money in their accounts and use the accounts to pay for game point cards and other fee-based services and products rendered by the Company. Account holders may also withdraw money from their accounts at any time, such as to pay for items purchased from other players or when they want the return of their money. The Company engages certain third party online payment settlement service providers to collect payments from and process withdrawals by customers. As of December 31, 2013 and 2014, the Company had operating funds held by its third party online payment settlement service providers as shown above.</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amount of employee advances listed above included staff housing loan balances of RMB19.2 million and RMB24.7 million repayable within 12 months from December 31, 2013 and 2014, respectively (see Note 10 (c)). No advances were made directly or indirectly to the Company’s executive officers for their personal benefit for the years ended December 31, 2013 and 2014.</w:t>
      </w:r>
    </w:p>
    <w:p>
      <w:pPr>
        <w:spacing w:after="0" w:line="17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2013 and 2014, the Group’s short-term investments mainly consisted of held-to-maturity investments including fixed-rate corporate bonds and financial products issued by commercial banks in China with a variable interest rate indexed to the performance of underlying assets and a maturity date within one year when purchased. As of December 31, 2014, the effective yields of short-term investments ranged from 3.05% to 5.18% per annum (2013: 3.30% to 7.00% per annum).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short-term investments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2014</w:t>
            </w: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0"/>
                <w:szCs w:val="10"/>
                <w:color w:val="auto"/>
              </w:rPr>
            </w:pPr>
          </w:p>
        </w:tc>
        <w:tc>
          <w:tcPr>
            <w:tcW w:w="16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Unrecognized</w:t>
            </w:r>
          </w:p>
        </w:tc>
        <w:tc>
          <w:tcPr>
            <w:tcW w:w="2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Gains/(Loss)</w:t>
            </w:r>
          </w:p>
        </w:tc>
        <w:tc>
          <w:tcPr>
            <w:tcW w:w="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 fixed rate investments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350,528</w:t>
            </w:r>
          </w:p>
        </w:tc>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350,528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1,708,024</w:t>
            </w:r>
          </w:p>
        </w:tc>
        <w:tc>
          <w:tcPr>
            <w:tcW w:w="20" w:type="dxa"/>
            <w:vAlign w:val="bottom"/>
          </w:tcPr>
          <w:p>
            <w:pPr>
              <w:spacing w:after="0"/>
              <w:rPr>
                <w:sz w:val="18"/>
                <w:szCs w:val="18"/>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1,708,024</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0"/>
                <w:szCs w:val="10"/>
                <w:color w:val="auto"/>
              </w:rPr>
            </w:pPr>
          </w:p>
        </w:tc>
        <w:tc>
          <w:tcPr>
            <w:tcW w:w="16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Unrecognized</w:t>
            </w:r>
          </w:p>
        </w:tc>
        <w:tc>
          <w:tcPr>
            <w:tcW w:w="2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Gains/(Loss)</w:t>
            </w:r>
          </w:p>
        </w:tc>
        <w:tc>
          <w:tcPr>
            <w:tcW w:w="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investments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901,183</w:t>
            </w:r>
          </w:p>
        </w:tc>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901,183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During the years ended December 31, 2012, 2013 and 2014, the Company recorded investment income related to short-term investments of RMB42.9 million, RMB35.8 million and RMB64.2 million in the consolidated statements of operations and comprehensive income, respectively.</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as of December 31, 2014, the Company had a loan from an offshore bank in the principal amount of US$90.0 million that was secured by RMB deposits of the Company in an onshore branch of this bank in the amount of RMB614.2 million, which was recognized as a short-term investment. (See Note 13)</w:t>
      </w:r>
    </w:p>
    <w:p>
      <w:pPr>
        <w:sectPr>
          <w:pgSz w:w="11900" w:h="16931" w:orient="portrait"/>
          <w:cols w:equalWidth="0" w:num="1">
            <w:col w:w="11460"/>
          </w:cols>
          <w:pgMar w:left="240" w:top="104" w:right="199" w:bottom="0" w:gutter="0" w:footer="0" w:header="0"/>
        </w:sectPr>
      </w:pPr>
    </w:p>
    <w:bookmarkStart w:id="94" w:name="page95"/>
    <w:bookmarkEnd w:id="94"/>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Property, Equipment and Software</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The following is a summary of property, equipment and software (in thousands):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3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decoration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609,865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569,911</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42,491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40,790</w:t>
            </w: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63,946</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14,845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23,627</w:t>
            </w: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 and computers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818,271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931,024</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40,141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45,356</w:t>
            </w: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196,929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574,932</w:t>
            </w:r>
          </w:p>
        </w:tc>
        <w:tc>
          <w:tcPr>
            <w:tcW w:w="100" w:type="dxa"/>
            <w:vAlign w:val="bottom"/>
            <w:shd w:val="clear" w:color="auto" w:fill="CCEE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1,771,542</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2,249,586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(899,429)</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(968,361)</w:t>
            </w: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color w:val="auto"/>
              </w:rPr>
              <w:t>Net book value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872,113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1,281,225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RMB184.2 million, RMB158.0 million and RMB172.4 million for the years ended 2012, 2013 and 2014, respectively.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2013 and 2014, the construction in progress balance mainly represented a prepayment of RMB189.5 million and RMB557.7 million, respectively, for the construction of office buildings in Beijing, Hangzhou and Guangzhou. All the related cost is capitalized in construction in progress to the extent it is incurred for the purposes of bringing the construction development to a usable state.</w:t>
      </w:r>
    </w:p>
    <w:p>
      <w:pPr>
        <w:spacing w:after="0" w:line="177"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acquired the land use right in 2007 for the purpose of constructing a new research and development center in Hangzhou The Company also acquired additional land use right in 2014 for the second phase construction of the aforementioned Hangzhou research and development center and an office building located in Zhoushan, which construction had not yet started as at December 31, 2014. Amortization of the land use right is made over the remaining term of the land use right period of 50 years from the date when the Company first obtained the land use right certificate from the local authorities. The land use right is summarized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7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94,736</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Incentive payment from local government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(2,088)</w:t>
            </w: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Land use right,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amortization expense for each of the years ended December 31, 2012, 2013 and 2014 amounted to approximately RMB258,000, RMB258,000, and RMB580,000, respectively.</w:t>
      </w:r>
    </w:p>
    <w:p>
      <w:pPr>
        <w:spacing w:after="0" w:line="166"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License Rights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License rights represents fees paid for licensed games. In 2011, the Company recorded an impairment charge of approximately RMB50.3 million in the consolidated statements of operations and comprehensive income, which representing 100% provision on the unamortized portion of one of those license rights as of December 31, 2011.</w:t>
      </w:r>
    </w:p>
    <w:p>
      <w:pPr>
        <w:spacing w:after="0" w:line="18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total amortization expense for the years ended December 31, 2012, 2013 and 2014 amounted to approximately RMB49.0 million, nil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license rights are summarized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1560" w:type="dxa"/>
            <w:vAlign w:val="bottom"/>
          </w:tcPr>
          <w:p>
            <w:pPr>
              <w:spacing w:after="0"/>
              <w:rPr>
                <w:sz w:val="14"/>
                <w:szCs w:val="14"/>
                <w:color w:val="auto"/>
              </w:rPr>
            </w:pPr>
          </w:p>
        </w:tc>
      </w:tr>
      <w:tr>
        <w:trPr>
          <w:trHeight w:val="171"/>
        </w:trPr>
        <w:tc>
          <w:tcPr>
            <w:tcW w:w="4180" w:type="dxa"/>
            <w:vAlign w:val="bottom"/>
          </w:tcPr>
          <w:p>
            <w:pPr>
              <w:spacing w:after="0"/>
              <w:rPr>
                <w:sz w:val="14"/>
                <w:szCs w:val="14"/>
                <w:color w:val="auto"/>
              </w:rPr>
            </w:pPr>
          </w:p>
        </w:tc>
        <w:tc>
          <w:tcPr>
            <w:tcW w:w="3940" w:type="dxa"/>
            <w:vAlign w:val="bottom"/>
            <w:gridSpan w:val="2"/>
          </w:tcPr>
          <w:p>
            <w:pPr>
              <w:jc w:val="center"/>
              <w:ind w:left="2494"/>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Payment for license rights</w:t>
            </w:r>
          </w:p>
        </w:tc>
        <w:tc>
          <w:tcPr>
            <w:tcW w:w="4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271,582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271,582</w:t>
            </w:r>
          </w:p>
        </w:tc>
        <w:tc>
          <w:tcPr>
            <w:tcW w:w="15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4220" w:type="dxa"/>
            <w:vAlign w:val="bottom"/>
            <w:gridSpan w:val="3"/>
          </w:tcPr>
          <w:p>
            <w:pPr>
              <w:jc w:val="right"/>
              <w:ind w:right="220"/>
              <w:spacing w:after="0"/>
              <w:rPr>
                <w:sz w:val="20"/>
                <w:szCs w:val="20"/>
                <w:color w:val="auto"/>
              </w:rPr>
            </w:pPr>
            <w:r>
              <w:rPr>
                <w:rFonts w:ascii="Arial" w:cs="Arial" w:eastAsia="Arial" w:hAnsi="Arial"/>
                <w:sz w:val="18"/>
                <w:szCs w:val="18"/>
                <w:color w:val="auto"/>
              </w:rPr>
              <w:t>(221,266)</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(221,266)</w:t>
            </w:r>
          </w:p>
        </w:tc>
        <w:tc>
          <w:tcPr>
            <w:tcW w:w="15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Impairment provision for license rights</w:t>
            </w:r>
          </w:p>
        </w:tc>
        <w:tc>
          <w:tcPr>
            <w:tcW w:w="4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(50,316)</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(50,316)</w:t>
            </w:r>
          </w:p>
        </w:tc>
        <w:tc>
          <w:tcPr>
            <w:tcW w:w="156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4220" w:type="dxa"/>
            <w:vAlign w:val="bottom"/>
            <w:gridSpan w:val="3"/>
          </w:tcPr>
          <w:p>
            <w:pPr>
              <w:jc w:val="right"/>
              <w:ind w:right="2520"/>
              <w:spacing w:after="0"/>
              <w:rPr>
                <w:sz w:val="20"/>
                <w:szCs w:val="20"/>
                <w:color w:val="auto"/>
              </w:rPr>
            </w:pPr>
            <w:r>
              <w:rPr>
                <w:rFonts w:ascii="Arial" w:cs="Arial" w:eastAsia="Arial" w:hAnsi="Arial"/>
                <w:sz w:val="18"/>
                <w:szCs w:val="18"/>
                <w:color w:val="auto"/>
              </w:rPr>
              <w:t>F-22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2"/>
        </w:trPr>
        <w:tc>
          <w:tcPr>
            <w:tcW w:w="418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assets (in thousands):</w:t>
      </w:r>
    </w:p>
    <w:p>
      <w:pPr>
        <w:spacing w:after="0" w:line="217" w:lineRule="exact"/>
        <w:rPr>
          <w:sz w:val="20"/>
          <w:szCs w:val="20"/>
          <w:color w:val="auto"/>
        </w:rPr>
      </w:pPr>
    </w:p>
    <w:p>
      <w:pPr>
        <w:ind w:left="6280"/>
        <w:spacing w:after="0"/>
        <w:tabs>
          <w:tab w:leader="none" w:pos="790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sectPr>
          <w:pgSz w:w="11900" w:h="16860" w:orient="portrait"/>
          <w:cols w:equalWidth="0" w:num="1">
            <w:col w:w="11460"/>
          </w:cols>
          <w:pgMar w:left="240" w:top="341" w:right="199" w:bottom="0" w:gutter="0" w:footer="0" w:header="0"/>
        </w:sectPr>
      </w:pPr>
    </w:p>
    <w:bookmarkStart w:id="95" w:name="page96"/>
    <w:bookmarkEnd w:id="95"/>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associated companies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227,656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207,492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38,473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169,986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Copyrights, licenses and domain names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12,533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108,102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Staff housing loans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58,766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63,006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1,472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12,051</w:t>
            </w:r>
          </w:p>
        </w:tc>
      </w:tr>
      <w:tr>
        <w:trPr>
          <w:trHeight w:val="210"/>
        </w:trPr>
        <w:tc>
          <w:tcPr>
            <w:tcW w:w="60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Investments in associated companies</w:t>
      </w:r>
    </w:p>
    <w:p>
      <w:pPr>
        <w:spacing w:after="0" w:line="225" w:lineRule="exact"/>
        <w:rPr>
          <w:rFonts w:ascii="Arial" w:cs="Arial" w:eastAsia="Arial" w:hAnsi="Arial"/>
          <w:sz w:val="18"/>
          <w:szCs w:val="18"/>
          <w:b w:val="1"/>
          <w:bCs w:val="1"/>
          <w:color w:val="auto"/>
        </w:rPr>
      </w:pPr>
    </w:p>
    <w:p>
      <w:pPr>
        <w:jc w:val="both"/>
        <w:ind w:left="3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recorded equity share of profits of RMB0.8 million for the year ended December 31, 2012, equity share of loss of RMB5.3 million for the year ended December 31, 2013, and equity share of loss of RMB33.6 million for the year ended December 31, 2014, which was included in “investment income, net” in the consolidated statements of comprehensive income. The Company received cash dividends for each of the years ended December 31, 2012, 2013 and 2014 of nil, nil and RMB15.3 million, respectively.</w:t>
      </w:r>
    </w:p>
    <w:p>
      <w:pPr>
        <w:spacing w:after="0" w:line="187" w:lineRule="exact"/>
        <w:rPr>
          <w:sz w:val="20"/>
          <w:szCs w:val="20"/>
          <w:color w:val="auto"/>
        </w:rPr>
      </w:pPr>
    </w:p>
    <w:p>
      <w:pPr>
        <w:ind w:left="340" w:right="40" w:hanging="332"/>
        <w:spacing w:after="0" w:line="259" w:lineRule="auto"/>
        <w:tabs>
          <w:tab w:leader="none" w:pos="3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August 2008, the Company acquired a 38.5% equity interest in SunEase, Inc., a provider of e-mail integration solution and corporate email post office operation services, sales of domain names and search engine marketing, for a consideration of approximately RMB31.0 million in cash. The investment was accounted for under the equity method of accounting with allocation of the purchase price to tangible assets, intangible assets, goodwill and liabilities.</w:t>
      </w:r>
    </w:p>
    <w:p>
      <w:pPr>
        <w:spacing w:after="0" w:line="186" w:lineRule="exact"/>
        <w:rPr>
          <w:rFonts w:ascii="Arial" w:cs="Arial" w:eastAsia="Arial" w:hAnsi="Arial"/>
          <w:sz w:val="18"/>
          <w:szCs w:val="18"/>
          <w:color w:val="auto"/>
        </w:rPr>
      </w:pPr>
    </w:p>
    <w:p>
      <w:pPr>
        <w:ind w:left="340" w:hanging="9"/>
        <w:spacing w:after="0" w:line="264" w:lineRule="auto"/>
        <w:rPr>
          <w:rFonts w:ascii="Arial" w:cs="Arial" w:eastAsia="Arial" w:hAnsi="Arial"/>
          <w:sz w:val="18"/>
          <w:szCs w:val="18"/>
          <w:color w:val="auto"/>
        </w:rPr>
      </w:pPr>
      <w:r>
        <w:rPr>
          <w:rFonts w:ascii="Arial" w:cs="Arial" w:eastAsia="Arial" w:hAnsi="Arial"/>
          <w:sz w:val="18"/>
          <w:szCs w:val="18"/>
          <w:color w:val="auto"/>
        </w:rPr>
        <w:t>The intangible assets consisted of trade name, customer contracts and relationships and technology, amounting to RMB6.7 million in total, which were fully amortized as of December 31, 2012. Amortization expense of the above-mentioned intangible assets was approximately RMB3.4 million, nil and nil for the years ended December 31, 2012, 2013 and 2014, respectively.</w:t>
      </w:r>
    </w:p>
    <w:p>
      <w:pPr>
        <w:spacing w:after="0" w:line="181" w:lineRule="exact"/>
        <w:rPr>
          <w:rFonts w:ascii="Arial" w:cs="Arial" w:eastAsia="Arial" w:hAnsi="Arial"/>
          <w:sz w:val="18"/>
          <w:szCs w:val="18"/>
          <w:color w:val="auto"/>
        </w:rPr>
      </w:pPr>
    </w:p>
    <w:p>
      <w:pPr>
        <w:ind w:left="340" w:right="240" w:hanging="332"/>
        <w:spacing w:after="0" w:line="264" w:lineRule="auto"/>
        <w:tabs>
          <w:tab w:leader="none" w:pos="3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August 2013, the Company established a joint venture with China Telecom Corp. Ltd. (“China Telecom”), Hangzhou Yixin Technology Co., Ltd. (“Yixin”) to launch “YiChat”, a proprietary social instant messaging application for smart phones. The Company contributed RMB200 million cash in exchange for a 27% percent equity interest in Yixin.</w:t>
      </w:r>
    </w:p>
    <w:p>
      <w:pPr>
        <w:spacing w:after="0" w:line="18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investment was accounted for under the equity method of accounting with allocation of the investment cost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Intangible assets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15,876</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(3,969)</w:t>
            </w:r>
          </w:p>
        </w:tc>
      </w:tr>
      <w:tr>
        <w:trPr>
          <w:trHeight w:val="210"/>
        </w:trPr>
        <w:tc>
          <w:tcPr>
            <w:tcW w:w="84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8"/>
        <w:spacing w:after="0" w:line="264" w:lineRule="auto"/>
        <w:rPr>
          <w:sz w:val="20"/>
          <w:szCs w:val="20"/>
          <w:color w:val="auto"/>
        </w:rPr>
      </w:pPr>
      <w:r>
        <w:rPr>
          <w:rFonts w:ascii="Arial" w:cs="Arial" w:eastAsia="Arial" w:hAnsi="Arial"/>
          <w:sz w:val="18"/>
          <w:szCs w:val="18"/>
          <w:color w:val="auto"/>
        </w:rPr>
        <w:t>The above intangible assets consisted of non-compete agreement, customer base and an exclusivity arrangement at RMB5.9 million, RMB7.8 million and RMB2.1 million, respectively. Amortization expense of the above-mentioned intangible assets was approximately RMB1.1 million and RMB3.2 million for the years ended December 31, 2013 and 2014, respectively.</w:t>
      </w:r>
    </w:p>
    <w:p>
      <w:pPr>
        <w:spacing w:after="0" w:line="181" w:lineRule="exact"/>
        <w:rPr>
          <w:sz w:val="20"/>
          <w:szCs w:val="20"/>
          <w:color w:val="auto"/>
        </w:rPr>
      </w:pPr>
    </w:p>
    <w:p>
      <w:pPr>
        <w:ind w:left="340" w:right="780" w:hanging="332"/>
        <w:spacing w:after="0" w:line="277" w:lineRule="auto"/>
        <w:tabs>
          <w:tab w:leader="none" w:pos="3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September 2014, the Company established a joint venture with several individuals to launch an e-commerce related business. The Company contributed RMB20 million cash in exchange for a 40% percent equity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81280</wp:posOffset>
            </wp:positionV>
            <wp:extent cx="70618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6183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Equity investments</w:t>
      </w:r>
    </w:p>
    <w:p>
      <w:pPr>
        <w:spacing w:after="0" w:line="225" w:lineRule="exact"/>
        <w:rPr>
          <w:sz w:val="20"/>
          <w:szCs w:val="20"/>
          <w:color w:val="auto"/>
        </w:rPr>
      </w:pPr>
    </w:p>
    <w:p>
      <w:pPr>
        <w:ind w:left="340" w:right="120" w:hanging="11"/>
        <w:spacing w:after="0" w:line="257" w:lineRule="auto"/>
        <w:rPr>
          <w:sz w:val="20"/>
          <w:szCs w:val="20"/>
          <w:color w:val="auto"/>
        </w:rPr>
      </w:pPr>
      <w:r>
        <w:rPr>
          <w:rFonts w:ascii="Arial" w:cs="Arial" w:eastAsia="Arial" w:hAnsi="Arial"/>
          <w:sz w:val="18"/>
          <w:szCs w:val="18"/>
          <w:color w:val="auto"/>
        </w:rPr>
        <w:t>Equity investments represent investments in privately held companies. The Company carries the investment at cost as the Company does not have significant influence and the investments do not have readily determinable fair value, As at December 31, 2014, an impairment provision of RMB24.0 million related to one of the equity investments was recognized as “investment income, net” in the consolidated statements of comprehensive income as the Company determined that the decline in its fair value is determined to be other-than-temporary. No other impairment provision was recorded in the consolidated statements of comprehensive income.</w:t>
      </w:r>
    </w:p>
    <w:p>
      <w:pPr>
        <w:spacing w:after="0" w:line="188"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Staff housing loans</w:t>
      </w:r>
    </w:p>
    <w:p>
      <w:pPr>
        <w:spacing w:after="0" w:line="225" w:lineRule="exact"/>
        <w:rPr>
          <w:rFonts w:ascii="Arial" w:cs="Arial" w:eastAsia="Arial" w:hAnsi="Arial"/>
          <w:sz w:val="18"/>
          <w:szCs w:val="18"/>
          <w:b w:val="1"/>
          <w:bCs w:val="1"/>
          <w:color w:val="auto"/>
        </w:rPr>
      </w:pPr>
    </w:p>
    <w:p>
      <w:pPr>
        <w:ind w:left="340" w:right="80" w:hanging="1"/>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made housing loans to its employees (excluding executive officers) for house purchases via a third-party commercial bank in China. Each individual staff housing loan is secured either by the property for which the loan is extended or by approved personal guarantees for the loan amount granted. The repayment term is five years from the date of drawdown. The interest rate is fixed varying from 3.0% to 3.5% per annum for the years ended December 31, 2013 and 2014, respectively. The outstanding portion of the staff housing loans repayable within 12 months as of December 31, 2013 and 2014 amounted to approximately RMB19.2 million and RMB24.7 million, respectively, and are reported under prepayments and other current assets in the consolidated balance sheets (see Note 5).</w:t>
      </w:r>
    </w:p>
    <w:p>
      <w:pPr>
        <w:spacing w:after="0" w:line="18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480" w:hanging="472"/>
        <w:spacing w:after="0"/>
        <w:tabs>
          <w:tab w:leader="none" w:pos="4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w:t>
      </w:r>
    </w:p>
    <w:p>
      <w:pPr>
        <w:sectPr>
          <w:pgSz w:w="11900" w:h="16840" w:orient="portrait"/>
          <w:cols w:equalWidth="0" w:num="1">
            <w:col w:w="11400"/>
          </w:cols>
          <w:pgMar w:left="240" w:top="118" w:right="259" w:bottom="0" w:gutter="0" w:footer="0" w:header="0"/>
        </w:sectPr>
      </w:pPr>
    </w:p>
    <w:bookmarkStart w:id="96" w:name="page97"/>
    <w:bookmarkEnd w:id="96"/>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withholding tax will be imposed.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Subsidiaries in the BVI are exempted from income tax on its foreign-derived income in the BVI. There are no withholding taxes in the BVI.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Subsidiaries in Hong Kong are subject to 16.5% income tax for 2013 and 2014 on their taxable income generated from operations in Hong Kong. The payments of dividends by these companies to their shareholders are not subject to any Hong Kong withholding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Enterprise Income Tax Law became effective on January 1, 2008.</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NetEase Beijing, Boguan and NetEase Hangzhou qualified as HNTEs and enjoyed a preferential tax rate of 15% from 2011 to 2013. In 2013, each of those three entities was approved as a Key Software Enterprise and enjoyed a preferential tax rate of 10% from 2011 to 2014. The related tax benefit from 2011 to 2013 was recorded in 2013.</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Hangzhou Langhe was recognized as a Software Enterprise in 2010. It was exempt from EIT for 2010 and 2011 and subject to a 50% reduction in its EIT rate from 2012 to 2014.</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Wangyibao was recognized as a Software Enterprise in 2011. Accordingly it was exempt from EIT for 2011 and 2012 and subject to a 50% reduction in its EIT rate from 2013 to 2015.</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Lede Technology was recognized as a Software Enterprise in 2014. It was exempt from EIT for 2014 and 2015 and subject to a 50% reduction in its EIT rate from 2016 to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preferential tax rates are subject to annual review by the relevant tax authorities in China.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combined effects of EIT exemptions and tax rate reductions enjoyed by the Group for the years ended December 31, 2012, 2013 and 2014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36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Aggregate amount of EIT exemptions and tax rate reductions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503,045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818,056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824,007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effect, basic</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3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2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per share effect, diluted</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sets forth the component of income tax expenses of the Company for the years ended December 31, 2012, 2013 and 2014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36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723,210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388,320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780,077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Deferred tax (benefit) expense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(31,568)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142,283</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(117,342)</w:t>
            </w:r>
          </w:p>
        </w:tc>
      </w:tr>
      <w:tr>
        <w:trPr>
          <w:trHeight w:val="210"/>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a reconciliation of the differences between the statutory income tax rate and the Company’s effective income tax rate for the years ended December 31, 2012, 2013 and 2014:</w:t>
      </w:r>
    </w:p>
    <w:p>
      <w:pPr>
        <w:spacing w:after="0" w:line="378"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9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2012</w:t>
            </w:r>
          </w:p>
        </w:tc>
        <w:tc>
          <w:tcPr>
            <w:tcW w:w="164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due to overseas tax-exempt entities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02"/>
        </w:trPr>
        <w:tc>
          <w:tcPr>
            <w:tcW w:w="6420" w:type="dxa"/>
            <w:vAlign w:val="bottom"/>
            <w:gridSpan w:val="2"/>
          </w:tcPr>
          <w:p>
            <w:pPr>
              <w:spacing w:after="0" w:line="201" w:lineRule="exact"/>
              <w:rPr>
                <w:sz w:val="20"/>
                <w:szCs w:val="20"/>
                <w:color w:val="auto"/>
              </w:rPr>
            </w:pPr>
            <w:r>
              <w:rPr>
                <w:rFonts w:ascii="Arial" w:cs="Arial" w:eastAsia="Arial" w:hAnsi="Arial"/>
                <w:sz w:val="18"/>
                <w:szCs w:val="18"/>
                <w:color w:val="auto"/>
              </w:rPr>
              <w:t>Effect of lower tax rate applicable to Software Enterprises, Key</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Software Enterprise and HNTEs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9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Income tax refund</w:t>
            </w:r>
          </w:p>
        </w:tc>
        <w:tc>
          <w:tcPr>
            <w:tcW w:w="1640" w:type="dxa"/>
            <w:vAlign w:val="bottom"/>
            <w:gridSpan w:val="3"/>
          </w:tcPr>
          <w:p>
            <w:pPr>
              <w:jc w:val="right"/>
              <w:ind w:right="11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withholding income tax</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certain entities of the Group had net operating tax loss carry forwards as follows (in thousands):</w:t>
      </w:r>
    </w:p>
    <w:p>
      <w:pPr>
        <w:spacing w:after="0" w:line="21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6350</wp:posOffset>
            </wp:positionV>
            <wp:extent cx="5308600" cy="139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08600" cy="139065"/>
                    </a:xfrm>
                    <a:prstGeom prst="rect">
                      <a:avLst/>
                    </a:prstGeom>
                    <a:noFill/>
                  </pic:spPr>
                </pic:pic>
              </a:graphicData>
            </a:graphic>
          </wp:anchor>
        </w:drawing>
      </w:r>
    </w:p>
    <w:p>
      <w:pPr>
        <w:sectPr>
          <w:pgSz w:w="11900" w:h="16890" w:orient="portrait"/>
          <w:cols w:equalWidth="0" w:num="1">
            <w:col w:w="11380"/>
          </w:cols>
          <w:pgMar w:left="240" w:top="125" w:right="279" w:bottom="0" w:gutter="0" w:footer="0" w:header="0"/>
        </w:sectPr>
      </w:pPr>
    </w:p>
    <w:p>
      <w:pPr>
        <w:spacing w:after="0" w:line="12" w:lineRule="exact"/>
        <w:rPr>
          <w:sz w:val="20"/>
          <w:szCs w:val="20"/>
          <w:color w:val="auto"/>
        </w:rPr>
      </w:pPr>
    </w:p>
    <w:p>
      <w:pPr>
        <w:ind w:left="1300"/>
        <w:spacing w:after="0"/>
        <w:tabs>
          <w:tab w:leader="none" w:pos="9040" w:val="left"/>
        </w:tabs>
        <w:rPr>
          <w:sz w:val="20"/>
          <w:szCs w:val="20"/>
          <w:color w:val="auto"/>
        </w:rPr>
      </w:pPr>
      <w:r>
        <w:rPr>
          <w:rFonts w:ascii="Arial" w:cs="Arial" w:eastAsia="Arial" w:hAnsi="Arial"/>
          <w:sz w:val="18"/>
          <w:szCs w:val="18"/>
          <w:color w:val="auto"/>
        </w:rPr>
        <w:t>Loss expiring in 2015</w:t>
      </w:r>
      <w:r>
        <w:rPr>
          <w:sz w:val="20"/>
          <w:szCs w:val="20"/>
          <w:color w:val="auto"/>
        </w:rPr>
        <w:tab/>
      </w:r>
      <w:r>
        <w:rPr>
          <w:rFonts w:ascii="Arial" w:cs="Arial" w:eastAsia="Arial" w:hAnsi="Arial"/>
          <w:sz w:val="16"/>
          <w:szCs w:val="16"/>
          <w:color w:val="auto"/>
        </w:rPr>
        <w:t>57,569</w:t>
      </w:r>
    </w:p>
    <w:p>
      <w:pPr>
        <w:sectPr>
          <w:pgSz w:w="11900" w:h="16890" w:orient="portrait"/>
          <w:cols w:equalWidth="0" w:num="1">
            <w:col w:w="11380"/>
          </w:cols>
          <w:pgMar w:left="240" w:top="125" w:right="279" w:bottom="0" w:gutter="0" w:footer="0" w:header="0"/>
          <w:type w:val="continuous"/>
        </w:sectPr>
      </w:pPr>
    </w:p>
    <w:bookmarkStart w:id="97" w:name="page98"/>
    <w:bookmarkEnd w:id="97"/>
    <w:p>
      <w:pPr>
        <w:spacing w:after="0" w:line="1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Loss expiring in 2016</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Loss expiring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-116205</wp:posOffset>
            </wp:positionV>
            <wp:extent cx="530860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Loss expiring in 2018</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Loss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-116205</wp:posOffset>
            </wp:positionV>
            <wp:extent cx="530860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178,583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252,783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247,524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116,165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852,624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29210</wp:posOffset>
            </wp:positionV>
            <wp:extent cx="8661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46355</wp:posOffset>
            </wp:positionV>
            <wp:extent cx="8661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-116205</wp:posOffset>
            </wp:positionV>
            <wp:extent cx="8661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945" w:orient="portrait"/>
          <w:cols w:equalWidth="0" w:num="2">
            <w:col w:w="8260" w:space="720"/>
            <w:col w:w="2440"/>
          </w:cols>
          <w:pgMar w:left="240" w:top="125" w:right="239" w:bottom="0" w:gutter="0" w:footer="0" w:header="0"/>
        </w:sectPr>
      </w:pPr>
    </w:p>
    <w:p>
      <w:pPr>
        <w:spacing w:after="0" w:line="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Full valuation allowance was provided on the related deferred tax assets as the Company’s management does not believe that sufficient positive evidence exists to conclude that recoverability of such deferred tax assets is more likely than not to be realized.</w:t>
      </w:r>
    </w:p>
    <w:p>
      <w:pPr>
        <w:spacing w:after="0" w:line="166" w:lineRule="exact"/>
        <w:rPr>
          <w:sz w:val="20"/>
          <w:szCs w:val="20"/>
          <w:color w:val="auto"/>
        </w:rPr>
      </w:pPr>
    </w:p>
    <w:p>
      <w:pPr>
        <w:ind w:left="480" w:hanging="472"/>
        <w:spacing w:after="0"/>
        <w:tabs>
          <w:tab w:leader="none" w:pos="4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Sales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tax includes business tax and value added tax.</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the Company’s revenues generally ranges from 3% to 5%. The Company is also subject to cultural development fee on the provision of advertising services in China. The applicable tax rate is 3% of the advertising services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Pursuant to the provision regulation of the PRC on value added tax and its implementation rules, all entities engaged in the sale of goods in China are generally required to pay value added tax at a rate of 17.0% or other applicable value added tax rate implemented by the provision regulation of the gross sales proceeds received, less any creditable value added tax already paid or borne by the taxpayer.</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Since 2012, a pilot program transitioning specified industries from being subject to Business Tax (“BT”) to Value Added Tax (“VAT”) formally commenced in certain provinces (“Pilot Program”) and subsequently expanded nationwide in 2013. According to the implementation circulars, most of the Company’s subsidiaries and VIEs were in the Pilot Program and subject to VAT at a rate of 6%, as compared to the BT rate of 5%.</w:t>
      </w:r>
    </w:p>
    <w:p>
      <w:pPr>
        <w:spacing w:after="0" w:line="162"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tax impact of significant temporary differences that give rise to the deferred tax assets and liabilities as of December 31, 2013 and 2014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Deferred revenue, primarily for advanced payments from online games customers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80,115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64,374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144,489</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(15,207)</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129,282</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202,040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tax assets - Non-current: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of fixed assets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Impairment of license rights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tax loss carry forward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173,243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20,851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197,741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valuation allowance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(174,656)</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(190,726)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23,085</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148,506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does not believe that sufficient positive evidence exists to conclude that the recoverability of deferred tax assets of certain entities of the Group is more likely than not to be realized. Consequently, the Company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Provision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Balance at</w:t>
            </w:r>
          </w:p>
        </w:tc>
      </w:tr>
      <w:tr>
        <w:trPr>
          <w:trHeight w:val="171"/>
        </w:trPr>
        <w:tc>
          <w:tcPr>
            <w:tcW w:w="58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January 1</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 the year</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w:t>
            </w:r>
          </w:p>
        </w:tc>
      </w:tr>
      <w:tr>
        <w:trPr>
          <w:trHeight w:val="142"/>
        </w:trPr>
        <w:tc>
          <w:tcPr>
            <w:tcW w:w="586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58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w w:val="84"/>
              </w:rPr>
              <w:t>2012</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85,326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71,980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157,306</w:t>
            </w:r>
          </w:p>
        </w:tc>
      </w:tr>
      <w:tr>
        <w:trPr>
          <w:trHeight w:val="216"/>
        </w:trPr>
        <w:tc>
          <w:tcPr>
            <w:tcW w:w="5860" w:type="dxa"/>
            <w:vAlign w:val="bottom"/>
          </w:tcPr>
          <w:p>
            <w:pPr>
              <w:jc w:val="right"/>
              <w:ind w:right="5410"/>
              <w:spacing w:after="0"/>
              <w:rPr>
                <w:sz w:val="20"/>
                <w:szCs w:val="20"/>
                <w:color w:val="auto"/>
              </w:rPr>
            </w:pPr>
            <w:r>
              <w:rPr>
                <w:rFonts w:ascii="Arial" w:cs="Arial" w:eastAsia="Arial" w:hAnsi="Arial"/>
                <w:sz w:val="18"/>
                <w:szCs w:val="18"/>
                <w:color w:val="auto"/>
                <w:w w:val="84"/>
              </w:rPr>
              <w:t>2013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157,306</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32,557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189,863</w:t>
            </w:r>
          </w:p>
        </w:tc>
      </w:tr>
      <w:tr>
        <w:trPr>
          <w:trHeight w:val="216"/>
        </w:trPr>
        <w:tc>
          <w:tcPr>
            <w:tcW w:w="58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w w:val="84"/>
              </w:rPr>
              <w:t>2014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189,863</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209,327</w:t>
            </w:r>
          </w:p>
        </w:tc>
      </w:tr>
    </w:tbl>
    <w:p>
      <w:pPr>
        <w:spacing w:after="0" w:line="198" w:lineRule="exact"/>
        <w:rPr>
          <w:sz w:val="20"/>
          <w:szCs w:val="20"/>
          <w:color w:val="auto"/>
        </w:rPr>
      </w:pPr>
    </w:p>
    <w:p>
      <w:pPr>
        <w:ind w:left="480" w:hanging="472"/>
        <w:spacing w:after="0"/>
        <w:tabs>
          <w:tab w:leader="none" w:pos="4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income tax</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Enterprise Income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w:t>
      </w:r>
    </w:p>
    <w:p>
      <w:pPr>
        <w:sectPr>
          <w:pgSz w:w="11900" w:h="16945" w:orient="portrait"/>
          <w:cols w:equalWidth="0" w:num="1">
            <w:col w:w="11420"/>
          </w:cols>
          <w:pgMar w:left="240" w:top="125" w:right="239" w:bottom="0" w:gutter="0" w:footer="0" w:header="0"/>
          <w:type w:val="continuous"/>
        </w:sectPr>
      </w:pPr>
    </w:p>
    <w:bookmarkStart w:id="98" w:name="page99"/>
    <w:bookmarkEnd w:id="98"/>
    <w:p>
      <w:pPr>
        <w:spacing w:after="0" w:line="3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are exempted from withholding tax when they are distributed to foreign investors. Based on the interpretation of the current tax laws, management believes that the Company and all its non-PRC subsidiaries are not considered as a “resident enterprise” in China for corporate income tax purposes, but it cannot be certain that the relevant PRC tax authorities will agree with this determination. Except for the foregoing withholding taxes, the Company’s non-PRC subsidiaries, which are currently all incorporated in Hong Kong, the British Virgin Islands or Cayman Islands and U.S. are not subject to taxation on dividends they receive from the Company’s PRC subsidiaries.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2013, the Company accrued RMB344.7 million of withholding tax liabilities, of which RMB55.6 million was associated with its 2013 annual dividend and RMB289.1 million was associated with cash expected to be distributed from its PRC subsidiaries to overseas for general corporate purposes.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2014, the Company accrued RMB125.1 million (US$20.2 million) of withholding tax liabilities, associated with its quarterly dividend and cash expected to be distributed from its PRC subsidiaries to overseas for general corporate purposes.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Aside from the above distributions, the Company intends to indefinitely reinvest all remaining undistributed earnings as of December 31, 2014 in its PRC subsidiaries. Accordingly, no other withholding tax is expected to be incurred, and the unrecognized deferred tax liabilities as of December 31, 2013 and 2014 were approximately RMB597.3 million and RMB734.6 million (US$118.4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6800" w:type="dxa"/>
            <w:vAlign w:val="bottom"/>
          </w:tcPr>
          <w:p>
            <w:pPr>
              <w:ind w:left="100"/>
              <w:spacing w:after="0"/>
              <w:rPr>
                <w:sz w:val="20"/>
                <w:szCs w:val="20"/>
                <w:color w:val="auto"/>
              </w:rPr>
            </w:pPr>
            <w:r>
              <w:rPr>
                <w:rFonts w:ascii="Arial" w:cs="Arial" w:eastAsia="Arial" w:hAnsi="Arial"/>
                <w:sz w:val="18"/>
                <w:szCs w:val="18"/>
                <w:b w:val="1"/>
                <w:bCs w:val="1"/>
                <w:color w:val="auto"/>
              </w:rPr>
              <w:t>Taxes Payable</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w w:val="93"/>
              </w:rPr>
              <w:t>The following is a summary of taxes payable as of December 31, 2013 and 2014 (in thousands):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tax</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18,139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20,445</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Withholding individual income taxes for employees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31,696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46,963</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income taxes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241,008</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21,302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25,874</w:t>
            </w:r>
          </w:p>
        </w:tc>
        <w:tc>
          <w:tcPr>
            <w:tcW w:w="0" w:type="dxa"/>
            <w:vAlign w:val="bottom"/>
          </w:tcPr>
          <w:p>
            <w:pPr>
              <w:spacing w:after="0"/>
              <w:rPr>
                <w:sz w:val="1"/>
                <w:szCs w:val="1"/>
                <w:color w:val="auto"/>
              </w:rPr>
            </w:pPr>
          </w:p>
        </w:tc>
      </w:tr>
      <w:tr>
        <w:trPr>
          <w:trHeight w:val="210"/>
        </w:trPr>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68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Short-term Loan</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vMerge w:val="continue"/>
          </w:tcPr>
          <w:p>
            <w:pPr>
              <w:spacing w:after="0"/>
              <w:rPr>
                <w:sz w:val="24"/>
                <w:szCs w:val="24"/>
                <w:color w:val="auto"/>
              </w:rPr>
            </w:pPr>
          </w:p>
        </w:tc>
        <w:tc>
          <w:tcPr>
            <w:tcW w:w="68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2013, the Company entered into a short-term loan arrangement with the Hong Kong and Shanghai Banking Corporation (“HSBC”). The commitment of the loan amounts to RMB975.5 million (US$161.1 million), with a fixed interest rate of 1.25% per annum and a maturity term of twelve months.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2014, the Company entered into three short-term loan arrangements with HSBC. The commitments of the loans are RMB673.1 million (US$110.0 million), RMB550.7 million (US$90.0 million), and RMB275.4 million (US$45.0 million), with a fixed interest rate of 1.15% , 1.15%, and 0.96% per annum and a maturity term of twelve months, twelve months, and three months, respectively.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2014, the Company entered into a short-term loan arrangement with the JPMorgan Chase &amp; Co. The commitment of the loan amounts to RMB550.7 million (US$90.0 million), with a fixed interest rate of 0.96% per annum and a maturity term of twelve months. The US$90.0 million loan was secured by RMB deposits of the Company in an onshore branch of this bank in the amount of RMB614.2 million, which was recognized as a short-term investment. (see Note 6)</w:t>
      </w:r>
    </w:p>
    <w:p>
      <w:pPr>
        <w:spacing w:after="0" w:line="183" w:lineRule="exact"/>
        <w:rPr>
          <w:sz w:val="20"/>
          <w:szCs w:val="20"/>
          <w:color w:val="auto"/>
        </w:rPr>
      </w:pPr>
    </w:p>
    <w:p>
      <w:pPr>
        <w:ind w:left="440" w:hanging="432"/>
        <w:spacing w:after="0"/>
        <w:tabs>
          <w:tab w:leader="none" w:pos="4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liabilities and other payables as of December 31, 2013 and 2014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3840" w:type="dxa"/>
            <w:vAlign w:val="bottom"/>
            <w:gridSpan w:val="2"/>
          </w:tcPr>
          <w:p>
            <w:pPr>
              <w:jc w:val="center"/>
              <w:ind w:left="2391"/>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on Wangyibao accounts</w:t>
            </w:r>
          </w:p>
        </w:tc>
        <w:tc>
          <w:tcPr>
            <w:tcW w:w="4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464,061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622,021</w:t>
            </w: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Marketing expenses</w:t>
            </w:r>
          </w:p>
        </w:tc>
        <w:tc>
          <w:tcPr>
            <w:tcW w:w="4120" w:type="dxa"/>
            <w:vAlign w:val="bottom"/>
            <w:gridSpan w:val="3"/>
          </w:tcPr>
          <w:p>
            <w:pPr>
              <w:jc w:val="right"/>
              <w:ind w:right="280"/>
              <w:spacing w:after="0"/>
              <w:rPr>
                <w:sz w:val="20"/>
                <w:szCs w:val="20"/>
                <w:color w:val="auto"/>
              </w:rPr>
            </w:pPr>
            <w:r>
              <w:rPr>
                <w:rFonts w:ascii="Arial" w:cs="Arial" w:eastAsia="Arial" w:hAnsi="Arial"/>
                <w:sz w:val="18"/>
                <w:szCs w:val="18"/>
                <w:color w:val="auto"/>
              </w:rPr>
              <w:t>158,298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294,401</w:t>
            </w:r>
          </w:p>
        </w:tc>
        <w:tc>
          <w:tcPr>
            <w:tcW w:w="1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RSU payables (see Note 2(n))</w:t>
            </w:r>
          </w:p>
        </w:tc>
        <w:tc>
          <w:tcPr>
            <w:tcW w:w="4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119,851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137,033</w:t>
            </w: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Accrued fixed assets related payables</w:t>
            </w:r>
          </w:p>
        </w:tc>
        <w:tc>
          <w:tcPr>
            <w:tcW w:w="4120" w:type="dxa"/>
            <w:vAlign w:val="bottom"/>
            <w:gridSpan w:val="3"/>
          </w:tcPr>
          <w:p>
            <w:pPr>
              <w:jc w:val="right"/>
              <w:ind w:right="280"/>
              <w:spacing w:after="0"/>
              <w:rPr>
                <w:sz w:val="20"/>
                <w:szCs w:val="20"/>
                <w:color w:val="auto"/>
              </w:rPr>
            </w:pPr>
            <w:r>
              <w:rPr>
                <w:rFonts w:ascii="Arial" w:cs="Arial" w:eastAsia="Arial" w:hAnsi="Arial"/>
                <w:sz w:val="18"/>
                <w:szCs w:val="18"/>
                <w:color w:val="auto"/>
              </w:rPr>
              <w:t>9,449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80,942</w:t>
            </w:r>
          </w:p>
        </w:tc>
        <w:tc>
          <w:tcPr>
            <w:tcW w:w="1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Server custody fees and telecommunication charges</w:t>
            </w:r>
          </w:p>
        </w:tc>
        <w:tc>
          <w:tcPr>
            <w:tcW w:w="4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38,850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64,614</w:t>
            </w: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Accrued revenue sharing</w:t>
            </w:r>
          </w:p>
        </w:tc>
        <w:tc>
          <w:tcPr>
            <w:tcW w:w="4120" w:type="dxa"/>
            <w:vAlign w:val="bottom"/>
            <w:gridSpan w:val="3"/>
          </w:tcPr>
          <w:p>
            <w:pPr>
              <w:jc w:val="right"/>
              <w:ind w:right="280"/>
              <w:spacing w:after="0"/>
              <w:rPr>
                <w:sz w:val="20"/>
                <w:szCs w:val="20"/>
                <w:color w:val="auto"/>
              </w:rPr>
            </w:pPr>
            <w:r>
              <w:rPr>
                <w:rFonts w:ascii="Arial" w:cs="Arial" w:eastAsia="Arial" w:hAnsi="Arial"/>
                <w:sz w:val="18"/>
                <w:szCs w:val="18"/>
                <w:color w:val="auto"/>
              </w:rPr>
              <w:t>11,448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27,838</w:t>
            </w:r>
          </w:p>
        </w:tc>
        <w:tc>
          <w:tcPr>
            <w:tcW w:w="1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staff related cost</w:t>
            </w:r>
          </w:p>
        </w:tc>
        <w:tc>
          <w:tcPr>
            <w:tcW w:w="4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16,497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23,203</w:t>
            </w: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Content cost</w:t>
            </w:r>
          </w:p>
        </w:tc>
        <w:tc>
          <w:tcPr>
            <w:tcW w:w="4120" w:type="dxa"/>
            <w:vAlign w:val="bottom"/>
            <w:gridSpan w:val="3"/>
          </w:tcPr>
          <w:p>
            <w:pPr>
              <w:jc w:val="right"/>
              <w:ind w:right="280"/>
              <w:spacing w:after="0"/>
              <w:rPr>
                <w:sz w:val="20"/>
                <w:szCs w:val="20"/>
                <w:color w:val="auto"/>
              </w:rPr>
            </w:pPr>
            <w:r>
              <w:rPr>
                <w:rFonts w:ascii="Arial" w:cs="Arial" w:eastAsia="Arial" w:hAnsi="Arial"/>
                <w:sz w:val="18"/>
                <w:szCs w:val="18"/>
                <w:color w:val="auto"/>
              </w:rPr>
              <w:t>23,827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13,354</w:t>
            </w:r>
          </w:p>
        </w:tc>
        <w:tc>
          <w:tcPr>
            <w:tcW w:w="1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11,939</w:t>
            </w: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Royalty and consulting fee payments due to Blizzard</w:t>
            </w:r>
          </w:p>
        </w:tc>
        <w:tc>
          <w:tcPr>
            <w:tcW w:w="4120" w:type="dxa"/>
            <w:vAlign w:val="bottom"/>
            <w:gridSpan w:val="3"/>
          </w:tcPr>
          <w:p>
            <w:pPr>
              <w:jc w:val="right"/>
              <w:ind w:right="280"/>
              <w:spacing w:after="0"/>
              <w:rPr>
                <w:sz w:val="20"/>
                <w:szCs w:val="20"/>
                <w:color w:val="auto"/>
              </w:rPr>
            </w:pPr>
            <w:r>
              <w:rPr>
                <w:rFonts w:ascii="Arial" w:cs="Arial" w:eastAsia="Arial" w:hAnsi="Arial"/>
                <w:sz w:val="18"/>
                <w:szCs w:val="18"/>
                <w:color w:val="auto"/>
              </w:rPr>
              <w:t>53,867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50,634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81,883</w:t>
            </w:r>
          </w:p>
        </w:tc>
        <w:tc>
          <w:tcPr>
            <w:tcW w:w="118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957,299</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1,357,228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4120" w:type="dxa"/>
            <w:vAlign w:val="bottom"/>
            <w:gridSpan w:val="3"/>
          </w:tcPr>
          <w:p>
            <w:pPr>
              <w:ind w:left="860"/>
              <w:spacing w:after="0"/>
              <w:rPr>
                <w:sz w:val="20"/>
                <w:szCs w:val="20"/>
                <w:color w:val="auto"/>
              </w:rPr>
            </w:pPr>
            <w:r>
              <w:rPr>
                <w:rFonts w:ascii="Arial" w:cs="Arial" w:eastAsia="Arial" w:hAnsi="Arial"/>
                <w:sz w:val="18"/>
                <w:szCs w:val="18"/>
                <w:color w:val="auto"/>
              </w:rPr>
              <w:t>F-27</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468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hanging="432"/>
        <w:spacing w:after="0"/>
        <w:tabs>
          <w:tab w:leader="none" w:pos="4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revenue represents sales proceeds from prepaid point cards, online points sold, unamortized mobile game in-game spending and prepaid subscription fees for Internet value-added services for which services are yet to be provided as of the balance sheet dates.</w:t>
      </w:r>
    </w:p>
    <w:p>
      <w:pPr>
        <w:sectPr>
          <w:pgSz w:w="11900" w:h="16875" w:orient="portrait"/>
          <w:cols w:equalWidth="0" w:num="1">
            <w:col w:w="11460"/>
          </w:cols>
          <w:pgMar w:left="240" w:top="125" w:right="199" w:bottom="0" w:gutter="0" w:footer="0" w:header="0"/>
        </w:sectPr>
      </w:pPr>
    </w:p>
    <w:bookmarkStart w:id="99" w:name="page100"/>
    <w:bookmarkEnd w:id="99"/>
    <w:p>
      <w:pPr>
        <w:ind w:left="440" w:hanging="432"/>
        <w:spacing w:after="0"/>
        <w:tabs>
          <w:tab w:leader="none" w:pos="4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payables as of December 31, 2013 and 2014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1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RSU long-term payable (see Note 2(n))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144,433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106,230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10"/>
        </w:trPr>
        <w:tc>
          <w:tcPr>
            <w:tcW w:w="7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Mezzanine Classified Noncontrolling Interests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November 2014, one of the Company’s subsidiaries Lede Inc., issued 5,673,796 of Series A convertible redeemable preferred shares (the ‘‘Preferred Shares’’) to certain investors, including LNT Investment Holdings (PTC) Limited (‘‘LNT Holdings’’), Shining Globe International Limited (‘‘Shining Globe’’) and two Directors of the Company, for US$3.74 per share in exchange of a total consideration of US$21.2 million (RMB130.4 million). LNT Holdings is a private trust company incorporated under the laws of the British Virgin Islands, controlled by a group of employees of the Group (other than the employees of Lede). Shining Globe is a private company incorporated under the laws of the British Virgin Islands, controlled by William Lei Ding, the Company’s Chief Executive Officer, director and major shareholder. These preferred shares are recognized as mezzanine classified noncontrolling interest in the consolidated balance sheet as these preferred shares are contingently redeemable upon the occurrence of a conditional event, which is not solely within the control of the Company. No share-based compensation cost was recognized as the subscription price paid by investors was the fair value of the Preferred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key terms of the Preferred Shares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Preferred Shares will automatically convert into ordinary shares of Lede Inc. upon i) certain conditions being met; or ii) any direct or indirect sale, transfer, assignment or disposition of such number of Preferred Shares by the holder thereof or an affiliate of such holder, or the direct or indirect transfer or assignment of the voting power attached to such number of Preferred Shares through voting proxy or otherwise to any person or entity that is not an affiliate of such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Dividends/Voting/Liquidation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described in this Note 17, the Preferred Shares and the ordinary shares of Lede Inc. rank pari passu and have the same rights, preferences, privileges and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certain conditions fail to be met by the one year anniversary of the closing date of the purchase of the Preferred Shares, the holder of the outstanding Preferred Shares has the right to sell to Lede Inc. (or its designated assignee) all (or a portion) of such Preferred Shares in cash, at a price equal to the original purchase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hanging="432"/>
        <w:spacing w:after="0"/>
        <w:tabs>
          <w:tab w:leader="none" w:pos="4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7" w:lineRule="exact"/>
        <w:rPr>
          <w:sz w:val="20"/>
          <w:szCs w:val="20"/>
          <w:color w:val="auto"/>
        </w:rPr>
      </w:pPr>
    </w:p>
    <w:p>
      <w:pPr>
        <w:ind w:left="440" w:hanging="432"/>
        <w:spacing w:after="0"/>
        <w:tabs>
          <w:tab w:leader="none" w:pos="4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Company has no further commitments beyond its monthly contribution. The following table presents the Group’s employee welfare benefits expense for the years ended December 31, 2012, 2013 and 2014 (in millions):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36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medical and pension schemes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employee benefits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95.6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r>
      <w:tr>
        <w:trPr>
          <w:trHeight w:val="210"/>
        </w:trPr>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5"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stock option plan</w:t>
      </w:r>
    </w:p>
    <w:p>
      <w:pPr>
        <w:sectPr>
          <w:pgSz w:w="11900" w:h="16838" w:orient="portrait"/>
          <w:cols w:equalWidth="0" w:num="1">
            <w:col w:w="11420"/>
          </w:cols>
          <w:pgMar w:left="240" w:top="337" w:right="239" w:bottom="144" w:gutter="0" w:footer="0" w:header="0"/>
        </w:sectPr>
      </w:pPr>
    </w:p>
    <w:bookmarkStart w:id="100" w:name="page101"/>
    <w:bookmarkEnd w:id="100"/>
    <w:p>
      <w:pPr>
        <w:ind w:right="400"/>
        <w:spacing w:after="0" w:line="277" w:lineRule="auto"/>
        <w:rPr>
          <w:sz w:val="20"/>
          <w:szCs w:val="20"/>
          <w:color w:val="auto"/>
        </w:rPr>
      </w:pPr>
      <w:r>
        <w:rPr>
          <w:rFonts w:ascii="Arial" w:cs="Arial" w:eastAsia="Arial" w:hAnsi="Arial"/>
          <w:sz w:val="18"/>
          <w:szCs w:val="18"/>
          <w:color w:val="auto"/>
        </w:rPr>
        <w:t>According to a resolution of the board of directors of the Company in 2000, the Company adopted its 2000 Stock Incentive Plan which was amended and restated in 2001 (the “2000 Stock Incentive Plan”).</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According to resolutions of the board of directors and the shareholders of the Company in 2001, the 2000 Stock Incentive Plan was amended and restated. Under the amended plan, the number of ordinary shares available for issuance was increased to 323,715,000. The amended plan also included a mechanism for the automatic increase in the number of ordinary shares available for future issuance. This mechanism, which is known as “Evergreen Provision”, provided for a periodic increase so that the number of ordinary shares available under the plan would automatically increase by 3% each year up to a maximum at any given time of 17.5% of the Company’s total outstanding ordinary shares, on a fully-diluted basis. These increases would occur on June 1 of 2001 and January 1 of each year thereafter. The “Evergreen Provision” was suspended following a resolution of the board of directors dated March 25, 2002. The 2000 Stock Incentive Plan expired in February 2010.</w:t>
      </w:r>
    </w:p>
    <w:p>
      <w:pPr>
        <w:spacing w:after="0" w:line="174" w:lineRule="exact"/>
        <w:rPr>
          <w:sz w:val="20"/>
          <w:szCs w:val="20"/>
          <w:color w:val="auto"/>
        </w:rPr>
      </w:pPr>
    </w:p>
    <w:p>
      <w:pPr>
        <w:ind w:left="480" w:hanging="472"/>
        <w:spacing w:after="0"/>
        <w:tabs>
          <w:tab w:leader="none" w:pos="4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 plan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November 2009, the Company adopted a restricted share units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w:t>
      </w:r>
    </w:p>
    <w:p>
      <w:pPr>
        <w:spacing w:after="0" w:line="177"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expense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recognizes share-based compensation cost in the consolidated statements of operations and comprehensive income based on awards ultimately expected to vest, after considering estimated forfeitures. Forfeitures are estimated based on the Company’s historical experience over the last five years and revised in subsequent periods if actual forfeitures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summary of the Company’s share-based compensation cost for the years ended December 31, 2012, 2013 and 2014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24"/>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tcPr>
          <w:p>
            <w:pPr>
              <w:jc w:val="right"/>
              <w:ind w:right="44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100,540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165,708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169,621</w:t>
            </w: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4200" w:type="dxa"/>
            <w:vAlign w:val="bottom"/>
            <w:gridSpan w:val="3"/>
          </w:tcPr>
          <w:p>
            <w:pPr>
              <w:jc w:val="right"/>
              <w:ind w:right="280"/>
              <w:spacing w:after="0"/>
              <w:rPr>
                <w:sz w:val="20"/>
                <w:szCs w:val="20"/>
                <w:color w:val="auto"/>
              </w:rPr>
            </w:pPr>
            <w:r>
              <w:rPr>
                <w:rFonts w:ascii="Arial" w:cs="Arial" w:eastAsia="Arial" w:hAnsi="Arial"/>
                <w:sz w:val="18"/>
                <w:szCs w:val="18"/>
                <w:color w:val="auto"/>
              </w:rPr>
              <w:t>13,368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17,967</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23,253</w:t>
            </w:r>
          </w:p>
        </w:tc>
        <w:tc>
          <w:tcPr>
            <w:tcW w:w="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33,374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48,350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51,475</w:t>
            </w: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0" w:type="dxa"/>
            <w:vAlign w:val="bottom"/>
            <w:gridSpan w:val="3"/>
          </w:tcPr>
          <w:p>
            <w:pPr>
              <w:jc w:val="right"/>
              <w:ind w:right="280"/>
              <w:spacing w:after="0"/>
              <w:rPr>
                <w:sz w:val="20"/>
                <w:szCs w:val="20"/>
                <w:color w:val="auto"/>
              </w:rPr>
            </w:pPr>
            <w:r>
              <w:rPr>
                <w:rFonts w:ascii="Arial" w:cs="Arial" w:eastAsia="Arial" w:hAnsi="Arial"/>
                <w:sz w:val="18"/>
                <w:szCs w:val="18"/>
                <w:color w:val="auto"/>
              </w:rPr>
              <w:t>55,736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74,283</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104,928</w:t>
            </w:r>
          </w:p>
        </w:tc>
        <w:tc>
          <w:tcPr>
            <w:tcW w:w="40" w:type="dxa"/>
            <w:vAlign w:val="bottom"/>
          </w:tcPr>
          <w:p>
            <w:pPr>
              <w:spacing w:after="0"/>
              <w:rPr>
                <w:sz w:val="18"/>
                <w:szCs w:val="18"/>
                <w:color w:val="auto"/>
              </w:rPr>
            </w:pPr>
          </w:p>
        </w:tc>
      </w:tr>
      <w:tr>
        <w:trPr>
          <w:trHeight w:val="210"/>
        </w:trPr>
        <w:tc>
          <w:tcPr>
            <w:tcW w:w="410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4200" w:type="dxa"/>
            <w:vAlign w:val="bottom"/>
            <w:gridSpan w:val="3"/>
          </w:tcPr>
          <w:p>
            <w:pPr>
              <w:ind w:left="1440"/>
              <w:spacing w:after="0"/>
              <w:rPr>
                <w:sz w:val="20"/>
                <w:szCs w:val="20"/>
                <w:color w:val="auto"/>
              </w:rPr>
            </w:pPr>
            <w:r>
              <w:rPr>
                <w:rFonts w:ascii="Arial" w:cs="Arial" w:eastAsia="Arial" w:hAnsi="Arial"/>
                <w:sz w:val="18"/>
                <w:szCs w:val="18"/>
                <w:color w:val="auto"/>
              </w:rPr>
              <w:t>F-29</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0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2014, there was no unrecognized compensation cost under the 2000 Stock Incentive Plan as the options granted thereunder were fully vested.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2014, total unrecognized compensation cost related to unvested awards under the 2009 RSU Plan, adjusted for estimated forfeitures, was US$144.9 million (RMB899.0 million) and is expected to be recognized through the remaining vesting period of each grant. As of December 31, 2014, the weighted average remaining vesting period was 3.14 years.</w:t>
      </w:r>
    </w:p>
    <w:p>
      <w:pPr>
        <w:spacing w:after="0" w:line="177" w:lineRule="exact"/>
        <w:rPr>
          <w:sz w:val="20"/>
          <w:szCs w:val="20"/>
          <w:color w:val="auto"/>
        </w:rPr>
      </w:pPr>
    </w:p>
    <w:p>
      <w:pPr>
        <w:ind w:left="480" w:hanging="472"/>
        <w:spacing w:after="0"/>
        <w:tabs>
          <w:tab w:leader="none" w:pos="4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assumptions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The Company did not grant any stock options in 2012, 2013 and 2014. Refer to Note 2(n) for the description of the bases the Company follows in the valuation of RSUs.</w:t>
      </w:r>
    </w:p>
    <w:p>
      <w:pPr>
        <w:spacing w:after="0" w:line="166"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restricted share units award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Company’s stock options and RSUs award activities for the years ended December 31, 2012, 2013 and 2014:</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Employees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Senior</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Director and</w:t>
            </w:r>
          </w:p>
        </w:tc>
        <w:tc>
          <w:tcPr>
            <w:tcW w:w="14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Management</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Consultants</w:t>
            </w:r>
          </w:p>
        </w:tc>
        <w:tc>
          <w:tcPr>
            <w:tcW w:w="1420" w:type="dxa"/>
            <w:vAlign w:val="bottom"/>
            <w:gridSpan w:val="2"/>
            <w:vMerge w:val="continue"/>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11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1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Number of ordinary shares issuable upon</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stock options:</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4,517</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5,454</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(3,992)</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(4,929)</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0.794</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 no stock options expired or were forfeited.</w:t>
      </w:r>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ind w:left="4900"/>
        <w:spacing w:after="0"/>
        <w:tabs>
          <w:tab w:leader="none" w:pos="6660" w:val="left"/>
          <w:tab w:leader="none" w:pos="8120" w:val="left"/>
          <w:tab w:leader="none" w:pos="10000" w:val="left"/>
        </w:tabs>
        <w:rPr>
          <w:sz w:val="20"/>
          <w:szCs w:val="20"/>
          <w:color w:val="auto"/>
        </w:rPr>
      </w:pPr>
      <w:r>
        <w:rPr>
          <w:rFonts w:ascii="Arial" w:cs="Arial" w:eastAsia="Arial" w:hAnsi="Arial"/>
          <w:sz w:val="14"/>
          <w:szCs w:val="14"/>
          <w:b w:val="1"/>
          <w:bCs w:val="1"/>
          <w:color w:val="auto"/>
        </w:rPr>
        <w:t>Employees</w:t>
      </w:r>
      <w:r>
        <w:rPr>
          <w:sz w:val="20"/>
          <w:szCs w:val="20"/>
          <w:color w:val="auto"/>
        </w:rPr>
        <w:tab/>
      </w:r>
      <w:r>
        <w:rPr>
          <w:rFonts w:ascii="Arial" w:cs="Arial" w:eastAsia="Arial" w:hAnsi="Arial"/>
          <w:sz w:val="14"/>
          <w:szCs w:val="14"/>
          <w:b w:val="1"/>
          <w:bCs w:val="1"/>
          <w:color w:val="auto"/>
        </w:rPr>
        <w:t>Senior</w:t>
      </w:r>
      <w:r>
        <w:rPr>
          <w:sz w:val="20"/>
          <w:szCs w:val="20"/>
          <w:color w:val="auto"/>
        </w:rPr>
        <w:tab/>
      </w:r>
      <w:r>
        <w:rPr>
          <w:rFonts w:ascii="Arial" w:cs="Arial" w:eastAsia="Arial" w:hAnsi="Arial"/>
          <w:sz w:val="14"/>
          <w:szCs w:val="14"/>
          <w:b w:val="1"/>
          <w:bCs w:val="1"/>
          <w:color w:val="auto"/>
        </w:rPr>
        <w:t>Director and</w:t>
      </w:r>
      <w:r>
        <w:rPr>
          <w:sz w:val="20"/>
          <w:szCs w:val="20"/>
          <w:color w:val="auto"/>
        </w:rPr>
        <w:tab/>
      </w:r>
      <w:r>
        <w:rPr>
          <w:rFonts w:ascii="Arial" w:cs="Arial" w:eastAsia="Arial" w:hAnsi="Arial"/>
          <w:sz w:val="13"/>
          <w:szCs w:val="13"/>
          <w:b w:val="1"/>
          <w:bCs w:val="1"/>
          <w:color w:val="auto"/>
        </w:rPr>
        <w:t>Total</w:t>
      </w:r>
    </w:p>
    <w:p>
      <w:pPr>
        <w:sectPr>
          <w:pgSz w:w="11900" w:h="16838" w:orient="portrait"/>
          <w:cols w:equalWidth="0" w:num="1">
            <w:col w:w="11460"/>
          </w:cols>
          <w:pgMar w:left="240" w:top="125" w:right="199" w:bottom="0" w:gutter="0" w:footer="0" w:header="0"/>
          <w:type w:val="continuous"/>
        </w:sectPr>
      </w:pPr>
    </w:p>
    <w:bookmarkStart w:id="101" w:name="page102"/>
    <w:bookmarkEnd w:id="101"/>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Management</w:t>
            </w: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Consultants</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0"/>
        </w:trPr>
        <w:tc>
          <w:tcPr>
            <w:tcW w:w="3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8"/>
        </w:trPr>
        <w:tc>
          <w:tcPr>
            <w:tcW w:w="3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8"/>
        </w:trPr>
        <w:tc>
          <w:tcPr>
            <w:tcW w:w="340" w:type="dxa"/>
            <w:vAlign w:val="bottom"/>
          </w:tcPr>
          <w:p>
            <w:pPr>
              <w:spacing w:after="0"/>
              <w:rPr>
                <w:sz w:val="17"/>
                <w:szCs w:val="17"/>
                <w:color w:val="auto"/>
              </w:rPr>
            </w:pPr>
          </w:p>
        </w:tc>
        <w:tc>
          <w:tcPr>
            <w:tcW w:w="4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Number of ordinary shares issuable upon vesting</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restricted share units:</w:t>
            </w: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at January 1, 2012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12,372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14,652</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18,451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18,716</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(8,390)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(8,680)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(3,963)</w:t>
            </w:r>
          </w:p>
        </w:tc>
        <w:tc>
          <w:tcPr>
            <w:tcW w:w="4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20,460</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20,725</w:t>
            </w:r>
          </w:p>
        </w:tc>
        <w:tc>
          <w:tcPr>
            <w:tcW w:w="120" w:type="dxa"/>
            <w:vAlign w:val="bottom"/>
            <w:tcBorders>
              <w:bottom w:val="single" w:sz="8" w:color="CCEEFF"/>
            </w:tcBorders>
          </w:tcPr>
          <w:p>
            <w:pPr>
              <w:spacing w:after="0"/>
              <w:rPr>
                <w:sz w:val="21"/>
                <w:szCs w:val="21"/>
                <w:color w:val="auto"/>
              </w:rPr>
            </w:pPr>
          </w:p>
        </w:tc>
        <w:tc>
          <w:tcPr>
            <w:tcW w:w="480" w:type="dxa"/>
            <w:vAlign w:val="bottom"/>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at January 1, 2013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20,460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20,725</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18,371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18,658</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(12,818)</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(13,083)</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4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25,152</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25,439</w:t>
            </w:r>
          </w:p>
        </w:tc>
        <w:tc>
          <w:tcPr>
            <w:tcW w:w="120" w:type="dxa"/>
            <w:vAlign w:val="bottom"/>
            <w:tcBorders>
              <w:bottom w:val="single" w:sz="8" w:color="CCEEFF"/>
            </w:tcBorders>
          </w:tcPr>
          <w:p>
            <w:pPr>
              <w:spacing w:after="0"/>
              <w:rPr>
                <w:sz w:val="21"/>
                <w:szCs w:val="21"/>
                <w:color w:val="auto"/>
              </w:rPr>
            </w:pPr>
          </w:p>
        </w:tc>
        <w:tc>
          <w:tcPr>
            <w:tcW w:w="480" w:type="dxa"/>
            <w:vAlign w:val="bottom"/>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at January 1, 2014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25,152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25,439</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30,429</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30,624</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(17,200)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(17,450)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36,842</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F-30</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total intrinsic value of options exercised and the total fair value of RSUs on vesting dates for the years ended 2012, 2013 and 2014,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9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4"/>
                <w:szCs w:val="14"/>
                <w:b w:val="1"/>
                <w:bCs w:val="1"/>
                <w:color w:val="auto"/>
                <w:w w:val="90"/>
              </w:rPr>
              <w:t>Stock Options</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96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w w:val="95"/>
              </w:rPr>
              <w:t>US$</w:t>
            </w:r>
          </w:p>
        </w:tc>
        <w:tc>
          <w:tcPr>
            <w:tcW w:w="1060" w:type="dxa"/>
            <w:vAlign w:val="bottom"/>
          </w:tcPr>
          <w:p>
            <w:pPr>
              <w:jc w:val="center"/>
              <w:ind w:right="2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37"/>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exercised: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16"/>
        </w:trPr>
        <w:tc>
          <w:tcPr>
            <w:tcW w:w="8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350"/>
        </w:trPr>
        <w:tc>
          <w:tcPr>
            <w:tcW w:w="8300" w:type="dxa"/>
            <w:vAlign w:val="bottom"/>
          </w:tcPr>
          <w:p>
            <w:pPr>
              <w:spacing w:after="0"/>
              <w:rPr>
                <w:sz w:val="24"/>
                <w:szCs w:val="24"/>
                <w:color w:val="auto"/>
              </w:rPr>
            </w:pPr>
          </w:p>
        </w:tc>
        <w:tc>
          <w:tcPr>
            <w:tcW w:w="19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4"/>
                <w:szCs w:val="14"/>
                <w:b w:val="1"/>
                <w:bCs w:val="1"/>
                <w:color w:val="auto"/>
              </w:rPr>
              <w:t>RSU</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300" w:type="dxa"/>
            <w:vAlign w:val="bottom"/>
          </w:tcPr>
          <w:p>
            <w:pPr>
              <w:spacing w:after="0"/>
              <w:rPr>
                <w:sz w:val="12"/>
                <w:szCs w:val="12"/>
                <w:color w:val="auto"/>
              </w:rPr>
            </w:pPr>
          </w:p>
        </w:tc>
        <w:tc>
          <w:tcPr>
            <w:tcW w:w="196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w w:val="95"/>
              </w:rPr>
              <w:t>US$</w:t>
            </w:r>
          </w:p>
        </w:tc>
        <w:tc>
          <w:tcPr>
            <w:tcW w:w="1060" w:type="dxa"/>
            <w:vAlign w:val="bottom"/>
          </w:tcPr>
          <w:p>
            <w:pPr>
              <w:jc w:val="center"/>
              <w:ind w:right="2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37"/>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vested: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8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r>
      <w:tr>
        <w:trPr>
          <w:trHeight w:val="230"/>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contractual life for the RSUs outstanding as of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Exercisable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Life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2"/>
        </w:trPr>
        <w:tc>
          <w:tcPr>
            <w:tcW w:w="3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Restricted Share Units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Performance-based settled in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10,103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Time-based-settled in stock/cash</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45,769</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Time-based-settled in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19,900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aggregate intrinsic value of RSUs outstanding as of December 31, 2014 was US$294.3 million. The intrinsic value was calculated based on the Company’s closing stock price of US$99.14 per ADS, or US$3.9656 per ordinary share as of December 31, 2014.</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 is the Company’s policy to issue new shares upon share option exercises and vesting of RSUs. The number of shares available for future grant under the Company’s 2009 RSU Plan was 202,674,425 as of December 31, 2014.</w:t>
      </w:r>
    </w:p>
    <w:p>
      <w:pPr>
        <w:spacing w:after="0" w:line="166"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Lede Plan</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June 2014, one of the Company’s subsidiaries, Lede Inc., adopted the Lede Plan, which allows Lede Inc. to offer a variety of share-based incentive awards to employees of the Group. Under the Lede Plan, the maximum number of shares that may be issued is 18% of Lede Inc.’s total outstanding shares on an as-converted and fully diluted basis as of the effective date of the Lede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year ended December 31, 2014, 10,851,933 options were granted to certain employees. The options expire in six years from the date of grant and either vest or have a vesting commencement date upon certain conditions being met (“Vesting Commencement Date”). One type of award becomes 100% vested on the Vesting Commencement Date, and a second type of award vests in five substantially equal annual installments with the first installment vesting on the Vesting Commencement Date.</w:t>
      </w:r>
    </w:p>
    <w:p>
      <w:pPr>
        <w:sectPr>
          <w:pgSz w:w="11900" w:h="16845" w:orient="portrait"/>
          <w:cols w:equalWidth="0" w:num="1">
            <w:col w:w="11460"/>
          </w:cols>
          <w:pgMar w:left="240" w:top="118" w:right="199" w:bottom="0" w:gutter="0" w:footer="0" w:header="0"/>
        </w:sectPr>
      </w:pPr>
    </w:p>
    <w:bookmarkStart w:id="102" w:name="page103"/>
    <w:bookmarkEnd w:id="102"/>
    <w:p>
      <w:pPr>
        <w:ind w:right="400"/>
        <w:spacing w:after="0" w:line="259" w:lineRule="auto"/>
        <w:rPr>
          <w:sz w:val="20"/>
          <w:szCs w:val="20"/>
          <w:color w:val="auto"/>
        </w:rPr>
      </w:pPr>
      <w:r>
        <w:rPr>
          <w:rFonts w:ascii="Arial" w:cs="Arial" w:eastAsia="Arial" w:hAnsi="Arial"/>
          <w:sz w:val="18"/>
          <w:szCs w:val="18"/>
          <w:color w:val="auto"/>
        </w:rPr>
        <w:t>Lede Inc. has used the binomial model to estimate the fair value of the options granted. While all share options granted will become vested or commence vesting beginning on the Vesting Commencement Date, the effectiveness of the conditions is not within the control of the Company and is not deemed probable to occur for accounting purposes until the Vesting Commencement Date. Therefore, for the year ended December 31, 2014, no compensation expenses were recorded for the share options granted.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the years ended December 31, 2012, 2013 and 2014:</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Numerator (RMB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right="380" w:hanging="179"/>
        <w:spacing w:after="0" w:line="245" w:lineRule="auto"/>
        <w:rPr>
          <w:sz w:val="20"/>
          <w:szCs w:val="20"/>
          <w:color w:val="auto"/>
        </w:rPr>
      </w:pPr>
      <w:r>
        <w:rPr>
          <w:rFonts w:ascii="Arial" w:cs="Arial" w:eastAsia="Arial" w:hAnsi="Arial"/>
          <w:sz w:val="18"/>
          <w:szCs w:val="18"/>
          <w:color w:val="auto"/>
        </w:rPr>
        <w:t>Net income attributable to NetEase, Inc.’s shareholders for basic/dilutive net income per share calculation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6350</wp:posOffset>
            </wp:positionV>
            <wp:extent cx="29673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tabs>
          <w:tab w:leader="none" w:pos="1640" w:val="left"/>
          <w:tab w:leader="none" w:pos="32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2014</w:t>
      </w:r>
    </w:p>
    <w:p>
      <w:pPr>
        <w:spacing w:after="0" w:line="399" w:lineRule="exact"/>
        <w:rPr>
          <w:sz w:val="20"/>
          <w:szCs w:val="20"/>
          <w:color w:val="auto"/>
        </w:rPr>
      </w:pPr>
    </w:p>
    <w:p>
      <w:pPr>
        <w:ind w:left="120"/>
        <w:spacing w:after="0"/>
        <w:tabs>
          <w:tab w:leader="none" w:pos="1740" w:val="left"/>
          <w:tab w:leader="none" w:pos="3400" w:val="left"/>
        </w:tabs>
        <w:rPr>
          <w:sz w:val="20"/>
          <w:szCs w:val="20"/>
          <w:color w:val="auto"/>
        </w:rPr>
      </w:pPr>
      <w:r>
        <w:rPr>
          <w:rFonts w:ascii="Arial" w:cs="Arial" w:eastAsia="Arial" w:hAnsi="Arial"/>
          <w:sz w:val="18"/>
          <w:szCs w:val="18"/>
          <w:color w:val="auto"/>
        </w:rPr>
        <w:t>3,637,452</w:t>
      </w:r>
      <w:r>
        <w:rPr>
          <w:sz w:val="20"/>
          <w:szCs w:val="20"/>
          <w:color w:val="auto"/>
        </w:rPr>
        <w:tab/>
      </w:r>
      <w:r>
        <w:rPr>
          <w:rFonts w:ascii="Arial" w:cs="Arial" w:eastAsia="Arial" w:hAnsi="Arial"/>
          <w:sz w:val="18"/>
          <w:szCs w:val="18"/>
          <w:color w:val="auto"/>
        </w:rPr>
        <w:t>4,443,910</w:t>
      </w:r>
      <w:r>
        <w:rPr>
          <w:sz w:val="20"/>
          <w:szCs w:val="20"/>
          <w:color w:val="auto"/>
        </w:rPr>
        <w:tab/>
      </w:r>
      <w:r>
        <w:rPr>
          <w:rFonts w:ascii="Arial" w:cs="Arial" w:eastAsia="Arial" w:hAnsi="Arial"/>
          <w:sz w:val="16"/>
          <w:szCs w:val="16"/>
          <w:color w:val="auto"/>
        </w:rPr>
        <w:t>4,756,623</w:t>
      </w:r>
    </w:p>
    <w:p>
      <w:pPr>
        <w:spacing w:after="0" w:line="28" w:lineRule="exact"/>
        <w:rPr>
          <w:sz w:val="20"/>
          <w:szCs w:val="20"/>
          <w:color w:val="auto"/>
        </w:rPr>
      </w:pPr>
    </w:p>
    <w:p>
      <w:pPr>
        <w:sectPr>
          <w:pgSz w:w="11900" w:h="16838" w:orient="portrait"/>
          <w:cols w:equalWidth="0" w:num="2">
            <w:col w:w="6460" w:space="720"/>
            <w:col w:w="424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664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Denominator (No. of shares in thousands):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ordinary shares outstanding, 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3,282,663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3,247,874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3,264,450</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Dilutive effect of employee stock options and restricted share units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5,667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8,423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ordinary shares outstanding, 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3,288,330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3,256,297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income per share, basic (RMB)</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2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diluted (RMB)</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2012, 2013 and 2014, options to purchase ordinary shares and RSUs that were anti-dilutive and excluded from the calculation of diluted net income per share totaled approximately 4.2 million shares, 2.9 million shares and 3.2 million shares, respectively.</w:t>
      </w:r>
    </w:p>
    <w:p>
      <w:pPr>
        <w:spacing w:after="0" w:line="167" w:lineRule="exact"/>
        <w:rPr>
          <w:sz w:val="20"/>
          <w:szCs w:val="20"/>
          <w:color w:val="auto"/>
        </w:rPr>
      </w:pPr>
    </w:p>
    <w:p>
      <w:pPr>
        <w:ind w:left="440" w:hanging="432"/>
        <w:spacing w:after="0"/>
        <w:tabs>
          <w:tab w:leader="none" w:pos="4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ind w:left="460" w:hanging="434"/>
        <w:spacing w:after="0"/>
        <w:tabs>
          <w:tab w:leader="none" w:pos="460"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leases office space, staff quarters and certain equipment under non-cancelable operating lease agreements, which expire at various dates through December 2022. As of December 31, 2014, future minimum lease under non-cancelable operating lease agreements, capital commitments and other commitment related to content and services purchases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Server Custody</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Office</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Rental</w:t>
            </w:r>
          </w:p>
        </w:tc>
        <w:tc>
          <w:tcPr>
            <w:tcW w:w="1420" w:type="dxa"/>
            <w:vAlign w:val="bottom"/>
            <w:gridSpan w:val="2"/>
            <w:vMerge w:val="continue"/>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Machines and</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Fee</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Commitments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Commitments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Commitments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Commitments</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6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81,500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17,104</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208,356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65,525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2016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33,428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19,629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4,752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22,898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2018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2,287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4,563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Beyond 2018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145,904</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230,003</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79,437</w:t>
            </w:r>
          </w:p>
        </w:tc>
        <w:tc>
          <w:tcPr>
            <w:tcW w:w="2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the years ended December 31, 2012, 2013 and 2014, the Company incurred rental expenses in the amounts of approximately RMB59.8 million, RMB59.6 million and RMB79.4 million, respectively.</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Additionally, in August 2008, Blizzard agreed to license to Shanghai EaseNet on an exclusive basis in China three personal computer strategy games and its Battle.net platform. The term of the license will be three years, with an additional one year extension upon agreement of the parties, commencing from the commercial release of StarCraft II: Wings of Liberty in China in April 2011. In April 2014, Blizzard and Shanghai EaseNet agreed to extend the term of the StarCraft II series license agreement for another additional three years commencing from April 2014. In April 2009, Blizzard and the Company announced that Blizzard’s World of Warcraft would also be licensed to Shanghai EaseNet in the PRC for a term of three years following the expiration of its previous license agreement on June 5, 2009 with another game operator. In March 2012, Blizzard and Shanghai EaseNet renewed the license agreement of World of Warcraft, and extended the license period to another three-year period commencing from September 2012. In July 2013, Shanghai EaseNet obtained the right to operate Hearthstone: Heroes of Warcraft in China from Blizzard. The term of the license is three years, with an additional one year extension upon agreement of the parties, commencing from January 2014. Under these license agreements, Shanghai EaseNet is required to pay license fees (except Hearthstone: Heroes of the Warcraft for which no license fee is required to be paid), royalties and consultancy fees (except Hearthstone: Heroes of the Warcraft for which no consultancy fee is required to be paid) to Blizzard for the games, and it also has a minimum marketing expenditure commitment. In accordance with the above-mentioned license agreements, the Company has incurred an overall commitment totaling approximately RMB4.4billion. As of December 31, 2014, the Company’s outstanding commitments under these license agreements totaled RMB1.7 billion which can be summarized as follows (in millions):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347845" cy="53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47845" cy="5334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bookmarkStart w:id="103" w:name="page104"/>
    <w:bookmarkEnd w:id="103"/>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Furthermore, under a license agreement entered into in November 2012, Blizzard agreed to license to Shanghai EaseNet the exclusive right to operate Heroes of the Storm™ in the PRC for a period of three years commencing from the game’s commercial release. Additionally, in June 2014, Blizzard and Shanghai EaseNet entered into a license agreement, which allows Shanghai EaseNet to obtain the exclusive right to operate Diablo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III in the PRC for a period of two years from the game’s commercial release. The Company expects to incur a commitment totaling approximately RMB765.1 million (US$123.3 million), including royalty to Blizzard and minimum marketing expenditure for these two games. As of December 31, 2014, Heroes of the Storm and Diablo III had not been commercially launched yet in the PRC.</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Shanghai EaseNet is also obligated to purchase or lease certain prescribed hardware and then make such prescribed hardware available to fulfill its obligations under the license agreements with Blizzard in the aggregate amount of up to approximately RMB198.5 million over the remaining term of licenses as of December 31, 2014. This amount represents the maximum expenditure Shanghai EaseNet would have to make for the prescribed hardware, but it may not be required to spend this amount in order to satisfy its obligations with respect to such hardware.</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With respect to the above commitment table related to Blizzard licensed games, the Company has guaranteed the foregoing amounts if and to the extent Shanghai EaseNet has insufficient funds to make such payments. The Company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the Company and the joint venture with Blizzard which provides technical services to Shanghai EaseNet.</w:t>
      </w:r>
    </w:p>
    <w:p>
      <w:pPr>
        <w:spacing w:after="0" w:line="184" w:lineRule="exact"/>
        <w:rPr>
          <w:sz w:val="20"/>
          <w:szCs w:val="20"/>
          <w:color w:val="auto"/>
        </w:rPr>
      </w:pPr>
    </w:p>
    <w:p>
      <w:pPr>
        <w:ind w:left="480" w:hanging="472"/>
        <w:spacing w:after="0"/>
        <w:tabs>
          <w:tab w:leader="none" w:pos="4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the Company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Company’s financial position, results of operations or cash flows. However, litigation is subject to inherent uncertainties and the Company’s view of these matters may change in the future. Were an unfavorable outcome to occur, there exists the possibility of a material adverse impact on the Company’s financial position, results of operations or cash flows for the period in which the unfavorable outcome occurs, and potentially in future periods.</w:t>
      </w:r>
    </w:p>
    <w:p>
      <w:pPr>
        <w:spacing w:after="0" w:line="189" w:lineRule="exact"/>
        <w:rPr>
          <w:sz w:val="20"/>
          <w:szCs w:val="20"/>
          <w:color w:val="auto"/>
        </w:rPr>
      </w:pPr>
    </w:p>
    <w:p>
      <w:pPr>
        <w:ind w:right="10100" w:firstLine="8"/>
        <w:spacing w:after="0" w:line="566" w:lineRule="auto"/>
        <w:tabs>
          <w:tab w:leader="none" w:pos="441"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Annual Dividend</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February 11, 2014, the Company’s board of directors approved an annual cash dividend with respect to fiscal year 2013 in the amount of US$1.41 per ADS, amounting to an aggregate of RMB1,109.7 million (US$183.3 million). Such dividend was payable to shareholders of record as of February 26, 2014 and was paid on March 7,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Policy</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May 2014, the Company’s board of directors approved a new quarterly dividend policy. Under this policy, the Company intends to make quarterly cash dividend distributions at an amount equivalent to approximately 25% of the Company’s anticipated net income after tax in each fiscal quarter.</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paid a dividend of US$0.34 per ADS for the first quarter of 2014 on June 3, 2014, US$0.37 per ADS for the second quarter of 2014 on September 5, 2014, US$0.36 per ADS for the third quarter of 2014 on December 5, 2014 and US$0.39 per ADS for the fourth quarter of 2014 on March 6, 2015. The cash dividend paid respect to fiscal year 2014 was RMB1,177.2 million (US$190.3 million) in total.</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hanging="432"/>
        <w:spacing w:after="0"/>
        <w:tabs>
          <w:tab w:leader="none" w:pos="4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board of directors approved five share repurchase programs prior to 2012 which authorized management to repurchase the Company’s ordinary shares to enhance shareholder value. In November 2012, the Company’s Board approved a share repurchase program authorizing management to repurchase up to US$100 million of the Company’s ordinary shares to enhance shareholder value for a period not to exceed twelve months. The timing and actual number of shares subject to repurchase were at the discretion of the Company’s management and contingent on a number of factors and limitations, including the price of the Company’s stock, corporate and regulatory requirements, alternative investment opportunities and other market conditions. The share repurchase program specified a maximum dollar value of shares subject to repurchase and had an expiration date and could have been limited or terminated at any time without prior notice. Such share repurchase program expired on November 20, 2013, and the Company repurchased 2.02 million ADSs (equivalent to 48.6 million ordinary shares) for consideration amounting to approximately US$83.0 million under this program.</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w:t>
      </w:r>
    </w:p>
    <w:p>
      <w:pPr>
        <w:spacing w:after="0" w:line="14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February 2014, the Company’s board of directors approved a new share repurchase program authorizing management to repurchase up to US$100 million of the Company’s ordinary shares to enhance shareholder value for a period not to exceed twelve months. The timing and actual number of shares subject to repurchase are at the discretion of the Company’s management and contingent on a number of factors and limitations, including the price of the Company’s</w:t>
      </w:r>
    </w:p>
    <w:p>
      <w:pPr>
        <w:sectPr>
          <w:pgSz w:w="11900" w:h="16939" w:orient="portrait"/>
          <w:cols w:equalWidth="0" w:num="1">
            <w:col w:w="11420"/>
          </w:cols>
          <w:pgMar w:left="240" w:top="140" w:right="239" w:bottom="0" w:gutter="0" w:footer="0" w:header="0"/>
        </w:sectPr>
      </w:pPr>
    </w:p>
    <w:bookmarkStart w:id="104" w:name="page105"/>
    <w:bookmarkEnd w:id="104"/>
    <w:p>
      <w:pPr>
        <w:ind w:right="120"/>
        <w:spacing w:after="0" w:line="264" w:lineRule="auto"/>
        <w:rPr>
          <w:sz w:val="20"/>
          <w:szCs w:val="20"/>
          <w:color w:val="auto"/>
        </w:rPr>
      </w:pPr>
      <w:r>
        <w:rPr>
          <w:rFonts w:ascii="Arial" w:cs="Arial" w:eastAsia="Arial" w:hAnsi="Arial"/>
          <w:sz w:val="18"/>
          <w:szCs w:val="18"/>
          <w:color w:val="auto"/>
        </w:rPr>
        <w:t>stock, corporate and regulatory requirements, alternative investment opportunities and other market conditions. The share repurchase program specifies a maximum dollar value of shares subject to repurchase and has an expiration date and can be limited or terminated at any time without prior notice. As of the expiration date of the program, no ADSs had been repurchased under this program.</w:t>
      </w:r>
    </w:p>
    <w:p>
      <w:pPr>
        <w:spacing w:after="0" w:line="177" w:lineRule="exact"/>
        <w:rPr>
          <w:sz w:val="20"/>
          <w:szCs w:val="20"/>
          <w:color w:val="auto"/>
        </w:rPr>
      </w:pPr>
    </w:p>
    <w:p>
      <w:pPr>
        <w:ind w:left="440" w:hanging="432"/>
        <w:spacing w:after="0"/>
        <w:tabs>
          <w:tab w:leader="none" w:pos="4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2014, one of the Company’s subsidiaries, Lede Inc., issued 5,673,796 Preferred Shares to certain investors, including LNT Holdings, Shining Globe and two Directors of the Company, for US$3.74 per share in exchange of a total consideration of US$21.2 million (RMB130.4 million). LNT Holdings is a private trust company incorporated under the laws of the British Virgin Islands, controlled by a group of employees of the Group (other than the employees of Lede). Shining Globe is a private company incorporated under the laws of the British Virgin Islands, controlled by William Lei Ding, the Company’s Chief Executive Officer and a director of the Company.</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above issuance of Preferred Shares, the Group had no material transactions with related parties for the year ended December 31, 2012, 2013 and 2014, and no material related parties’ balances as of December 31, 2014.</w:t>
      </w:r>
    </w:p>
    <w:p>
      <w:pPr>
        <w:spacing w:after="0" w:line="166" w:lineRule="exact"/>
        <w:rPr>
          <w:sz w:val="20"/>
          <w:szCs w:val="20"/>
          <w:color w:val="auto"/>
        </w:rPr>
      </w:pPr>
    </w:p>
    <w:p>
      <w:pPr>
        <w:ind w:left="440" w:hanging="432"/>
        <w:spacing w:after="0"/>
        <w:tabs>
          <w:tab w:leader="none" w:pos="4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Company’s CODM is the Chief Executive Officer.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organizational structure is based on a number of factors that the CODM uses to evaluate, view and run its business operations which include, but are not limited to, customer base, homogeneity of products and technology. The Company’s operating segments are based on this organizational structure and information reviewed by the Company’s CODM to evaluate the operating segment results. The Company has determined that its operations are organized into three reportable segments: 1) Online Game Services; 2) Advertising Services; and 3) E-mail, E-commerce and Others.</w:t>
      </w:r>
    </w:p>
    <w:p>
      <w:pPr>
        <w:spacing w:after="0" w:line="150" w:lineRule="exact"/>
        <w:rPr>
          <w:sz w:val="20"/>
          <w:szCs w:val="20"/>
          <w:color w:val="auto"/>
        </w:rPr>
      </w:pPr>
    </w:p>
    <w:p>
      <w:pPr>
        <w:ind w:left="480" w:hanging="472"/>
        <w:spacing w:after="0"/>
        <w:tabs>
          <w:tab w:leader="none" w:pos="4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table below provides a summary of the Group’s operating segment results for the years ended December 31, 2012, 2013 and 2014. The Group does not allocate any operating costs or assets to its business segments as the Company’s CODM does not use this information to measure the performance of the operating segments. There was no significant transaction between reportable segments for the years ended December 31, 2012, 2013 and 2014 (in thousands).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12"/>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Online game services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7,287,063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8,308,618</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9,815,019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850,157</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1,094,623</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242,741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368,014</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1,113,773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8,379,961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9,771,255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12,480,444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Sales tax expense (Note 11(b)):</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Online game services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(86,478)</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(444,154)</w:t>
            </w: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(548,861)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(82,680)</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(107,156)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(9,847)</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(23,770)</w:t>
            </w: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(64,166)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Sales taxes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Online game services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7,200,585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7,864,464</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9,266,158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767,477</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987,467</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232,894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344,244</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1,049,607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8,200,956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9,196,175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11,712,834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Online game services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(1,872,734)</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(1,649,803)</w:t>
            </w: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(2,111,701)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(474,165)</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(461,286)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(231,168)</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(367,427)</w:t>
            </w: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(621,178)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(2,578,067)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(2,478,516)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(3,261,544)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Online game services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5,327,851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6,214,661</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7,154,457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293,312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526,181</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1,726</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(23,183)</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428,429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revenues of the Company’s reportable segments are derived from China based on the geographical locations where services are provided to customers.</w:t>
      </w:r>
    </w:p>
    <w:p>
      <w:pPr>
        <w:spacing w:after="0" w:line="244" w:lineRule="exact"/>
        <w:rPr>
          <w:sz w:val="20"/>
          <w:szCs w:val="20"/>
          <w:color w:val="auto"/>
        </w:rPr>
      </w:pPr>
    </w:p>
    <w:p>
      <w:pPr>
        <w:ind w:left="440" w:hanging="432"/>
        <w:spacing w:after="0"/>
        <w:tabs>
          <w:tab w:leader="none" w:pos="4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ectPr>
          <w:pgSz w:w="11900" w:h="16838" w:orient="portrait"/>
          <w:cols w:equalWidth="0" w:num="1">
            <w:col w:w="11380"/>
          </w:cols>
          <w:pgMar w:left="240" w:top="125" w:right="279" w:bottom="0" w:gutter="0" w:footer="0" w:header="0"/>
        </w:sectPr>
      </w:pPr>
    </w:p>
    <w:bookmarkStart w:id="105" w:name="page106"/>
    <w:bookmarkEnd w:id="105"/>
    <w:p>
      <w:pPr>
        <w:ind w:right="80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Fair Value Measurements</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(RMB)</w:t>
            </w: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Active Market</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18,496,574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18,496,574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673,000</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673,000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securities-fixed rate investments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350,528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1,708,024</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1,708,024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21,228,126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19,169,574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2013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Fair Value Measurements</w:t>
            </w:r>
          </w:p>
        </w:tc>
        <w:tc>
          <w:tcPr>
            <w:tcW w:w="1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(RMB)</w:t>
            </w: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Active Market</w:t>
            </w:r>
          </w:p>
        </w:tc>
        <w:tc>
          <w:tcPr>
            <w:tcW w:w="1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16,625,468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16,625,468</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500,000</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500,000</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investments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901,183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18,026,651</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17,125,468</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rates of interest under the loan agreements with the lending banks were determined based on the prevailing interest rates in the market. The Company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2014, an cost method investment (Note 10) were measured using significant unobservable inputs (Level 3) and written down from their respective carrying value to fair value of nil, with impairment charges of RMB24.0 million incurred and recorded in earnings for the year then ended.</w:t>
      </w:r>
    </w:p>
    <w:p>
      <w:pPr>
        <w:spacing w:after="0" w:line="189" w:lineRule="exact"/>
        <w:rPr>
          <w:sz w:val="20"/>
          <w:szCs w:val="20"/>
          <w:color w:val="auto"/>
        </w:rPr>
      </w:pPr>
    </w:p>
    <w:p>
      <w:pPr>
        <w:ind w:left="440" w:hanging="432"/>
        <w:spacing w:after="0"/>
        <w:tabs>
          <w:tab w:leader="none" w:pos="4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RMB3.1 billion or 13% of the Company’s total consolidated net assets as of December 31, 2014.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 There were no undistributed retained earnings in associated companies in the consolidated retained earnings due to losses incurred by them.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NOVATION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VOTING RIGHT TRUST AGREEMENT</w:t>
      </w:r>
    </w:p>
    <w:p>
      <w:pPr>
        <w:spacing w:after="0" w:line="225"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AND NOVATION OF SHAREHOLDER VOTING RIGHT TRUST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Novation Agreement</w:t>
      </w:r>
      <w:r>
        <w:rPr>
          <w:rFonts w:ascii="Arial" w:cs="Arial" w:eastAsia="Arial" w:hAnsi="Arial"/>
          <w:sz w:val="18"/>
          <w:szCs w:val="18"/>
          <w:color w:val="auto"/>
        </w:rPr>
        <w:t>”) is made and effective as of May 1, 2014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NetEase Information Technology (Beijing) Co., Ltd. (“</w:t>
      </w:r>
      <w:r>
        <w:rPr>
          <w:rFonts w:ascii="Arial" w:cs="Arial" w:eastAsia="Arial" w:hAnsi="Arial"/>
          <w:sz w:val="18"/>
          <w:szCs w:val="18"/>
          <w:b w:val="1"/>
          <w:bCs w:val="1"/>
          <w:color w:val="auto"/>
        </w:rPr>
        <w:t>NetEase Beijing</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Beijing Guangyitong Advertising Co., Ltd. (the “</w:t>
      </w:r>
      <w:r>
        <w:rPr>
          <w:rFonts w:ascii="Arial" w:cs="Arial" w:eastAsia="Arial" w:hAnsi="Arial"/>
          <w:sz w:val="18"/>
          <w:szCs w:val="18"/>
          <w:b w:val="1"/>
          <w:bCs w:val="1"/>
          <w:color w:val="auto"/>
        </w:rPr>
        <w:t>Advertising Company</w:t>
      </w:r>
      <w:r>
        <w:rPr>
          <w:rFonts w:ascii="Arial" w:cs="Arial" w:eastAsia="Arial" w:hAnsi="Arial"/>
          <w:sz w:val="18"/>
          <w:szCs w:val="18"/>
          <w:color w:val="auto"/>
        </w:rPr>
        <w:t>”), William Lei Ding (“</w:t>
      </w:r>
      <w:r>
        <w:rPr>
          <w:rFonts w:ascii="Arial" w:cs="Arial" w:eastAsia="Arial" w:hAnsi="Arial"/>
          <w:sz w:val="18"/>
          <w:szCs w:val="18"/>
          <w:b w:val="1"/>
          <w:bCs w:val="1"/>
          <w:color w:val="auto"/>
        </w:rPr>
        <w:t>William</w:t>
      </w:r>
      <w:r>
        <w:rPr>
          <w:rFonts w:ascii="Arial" w:cs="Arial" w:eastAsia="Arial" w:hAnsi="Arial"/>
          <w:sz w:val="18"/>
          <w:szCs w:val="18"/>
          <w:color w:val="auto"/>
        </w:rPr>
        <w:t>”), Bo Ding (“</w:t>
      </w:r>
      <w:r>
        <w:rPr>
          <w:rFonts w:ascii="Arial" w:cs="Arial" w:eastAsia="Arial" w:hAnsi="Arial"/>
          <w:sz w:val="18"/>
          <w:szCs w:val="18"/>
          <w:b w:val="1"/>
          <w:bCs w:val="1"/>
          <w:color w:val="auto"/>
        </w:rPr>
        <w:t>Bo</w:t>
      </w:r>
      <w:r>
        <w:rPr>
          <w:rFonts w:ascii="Arial" w:cs="Arial" w:eastAsia="Arial" w:hAnsi="Arial"/>
          <w:sz w:val="18"/>
          <w:szCs w:val="18"/>
          <w:color w:val="auto"/>
        </w:rPr>
        <w:t>”) and Xiaojun Hui (“</w:t>
      </w:r>
      <w:r>
        <w:rPr>
          <w:rFonts w:ascii="Arial" w:cs="Arial" w:eastAsia="Arial" w:hAnsi="Arial"/>
          <w:sz w:val="18"/>
          <w:szCs w:val="18"/>
          <w:b w:val="1"/>
          <w:bCs w:val="1"/>
          <w:color w:val="auto"/>
        </w:rPr>
        <w:t>Xiaojun</w:t>
      </w:r>
      <w:r>
        <w:rPr>
          <w:rFonts w:ascii="Arial" w:cs="Arial" w:eastAsia="Arial" w:hAnsi="Arial"/>
          <w:sz w:val="18"/>
          <w:szCs w:val="18"/>
          <w:color w:val="auto"/>
        </w:rPr>
        <w:t>”). Unless otherwise defined, capitalized terms used herein shall have the meaning assigned to them in the Voting Trust Agreement (as defined below).</w:t>
      </w:r>
    </w:p>
    <w:p>
      <w:pPr>
        <w:spacing w:after="0" w:line="18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WHEREAS, NetEase Beijing, William and Bo are parties to the Shareholder Voting Right Trust Agreement, dated May 12, 2000 (the “</w:t>
      </w:r>
      <w:r>
        <w:rPr>
          <w:rFonts w:ascii="Arial" w:cs="Arial" w:eastAsia="Arial" w:hAnsi="Arial"/>
          <w:sz w:val="18"/>
          <w:szCs w:val="18"/>
          <w:b w:val="1"/>
          <w:bCs w:val="1"/>
          <w:color w:val="auto"/>
        </w:rPr>
        <w:t>Voting Trust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under which, among other things, (a) Bo agrees to entrust NetEase Beijing to exercise all the voting rights to which he is entitled as a direct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of the Advertising Company and (b) Bo and William, as the shareholders of Guangzhou NetEase Computer System Co., Ltd. (“</w:t>
      </w:r>
      <w:r>
        <w:rPr>
          <w:rFonts w:ascii="Arial" w:cs="Arial" w:eastAsia="Arial" w:hAnsi="Arial"/>
          <w:sz w:val="18"/>
          <w:szCs w:val="18"/>
          <w:b w:val="1"/>
          <w:bCs w:val="1"/>
          <w:color w:val="auto"/>
        </w:rPr>
        <w:t>Guangzhou</w:t>
      </w:r>
      <w:r>
        <w:rPr>
          <w:rFonts w:ascii="Arial" w:cs="Arial" w:eastAsia="Arial" w:hAnsi="Arial"/>
          <w:sz w:val="18"/>
          <w:szCs w:val="18"/>
          <w:color w:val="auto"/>
        </w:rPr>
        <w:t xml:space="preserve"> </w:t>
      </w:r>
      <w:r>
        <w:rPr>
          <w:rFonts w:ascii="Arial" w:cs="Arial" w:eastAsia="Arial" w:hAnsi="Arial"/>
          <w:sz w:val="18"/>
          <w:szCs w:val="18"/>
          <w:b w:val="1"/>
          <w:bCs w:val="1"/>
          <w:color w:val="auto"/>
        </w:rPr>
        <w:t>NetEase</w:t>
      </w:r>
      <w:r>
        <w:rPr>
          <w:rFonts w:ascii="Arial" w:cs="Arial" w:eastAsia="Arial" w:hAnsi="Arial"/>
          <w:sz w:val="18"/>
          <w:szCs w:val="18"/>
          <w:color w:val="auto"/>
        </w:rPr>
        <w:t>”), agree to cause Guangzhou NetEase to entrust NetEase Beijing to exercise all the voting rights to which Guangzhou NetEase is entitled as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of the Advertising Company;</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WHEREAS, prior to or on the date of this Novation Agreement, Bo has transferred 9% of the equity interests in Guangzhou NetEase to William, 1% of the equity interests in Guangzhou NetEase to Xiaojun and 20% of the equity interests in the Advertising Company to William (collectively, the “</w:t>
      </w:r>
      <w:r>
        <w:rPr>
          <w:rFonts w:ascii="Arial" w:cs="Arial" w:eastAsia="Arial" w:hAnsi="Arial"/>
          <w:sz w:val="16"/>
          <w:szCs w:val="16"/>
          <w:b w:val="1"/>
          <w:bCs w:val="1"/>
          <w:color w:val="auto"/>
        </w:rPr>
        <w:t>Equity</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Transfers</w:t>
      </w:r>
      <w:r>
        <w:rPr>
          <w:rFonts w:ascii="Arial" w:cs="Arial" w:eastAsia="Arial" w:hAnsi="Arial"/>
          <w:sz w:val="16"/>
          <w:szCs w:val="16"/>
          <w:color w:val="auto"/>
        </w:rPr>
        <w:t>”), upon the completion of which, (a) Bo has ceased to be a shareholder of Guangzhou NetEase and the Advertising Company, (b) William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holds 20% of the equity interests in the Advertising Company and 99% of the equity interests in Guangzhou NetEase, which continues to own 80% of the equity interests in the Advertising Company and (c) Xiaojun holds 1% of the equity interests in Guangzhou NetEase;</w:t>
      </w:r>
    </w:p>
    <w:p>
      <w:pPr>
        <w:spacing w:after="0" w:line="15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WHEREAS, in connection with the Equity Transfers, the parties have agreed that Bo will be removed as a party to the Voting Trust Agreement, and desire to recognize William and Xiaojun as successors to Bo’s rights, obligations and liabilities under the Voting Trust Agreement and Xiaojun as a successor party to the Voting Trust Agreement; and</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WHEREAS, the parties wish to memorialize the novation of Bo’s rights, obligations and liabilities under the Voting Trust Agreement to William (in the capacity of a shareholder of Guangzhou NetEase and a shareholder of the Advertising Company) and Xiaojun (in the capacity of a shareholder of Guangzhou NetEase and an indirect shareholder of the Advertising Company) and to amend the Voting Trust Agreement as set forth herein.</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of which is hereby acknowledged,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firstLine="656"/>
        <w:spacing w:after="0" w:line="271" w:lineRule="auto"/>
        <w:tabs>
          <w:tab w:leader="none" w:pos="1296"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Novation and Transfer; Consent</w:t>
      </w:r>
      <w:r>
        <w:rPr>
          <w:rFonts w:ascii="Arial" w:cs="Arial" w:eastAsia="Arial" w:hAnsi="Arial"/>
          <w:sz w:val="17"/>
          <w:szCs w:val="17"/>
          <w:color w:val="auto"/>
        </w:rPr>
        <w:t>. NetEase Beijing hereby consents and agrees to the assignment and transfer of the Voting Trust Agreement, including the transfer of all of Bo’s rights, obligations and liabilities thereunder, by Bo to: (a) William with respect to Bo’s rights, obligations and liabilities thereunder in his capacity as a shareholder of Guangzhou NetEase and a direct and indirect shareholder of the Advertising Company and</w:t>
      </w:r>
    </w:p>
    <w:p>
      <w:pPr>
        <w:ind w:right="40" w:firstLine="8"/>
        <w:spacing w:after="0" w:line="254"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Xiaojun with respect to Bo’s rights, obligations and liabilities thereunder in his capacity as a shareholder of Guangzhou NetEase and an indirect shareholder of the Advertising Company, and NetEase Beijing hereby agrees that the substitute performance by William and Xiaojun in their respective aforesaid capacities under the Voting Trust Agreement constitutes a complete novation of all rights formerly owed to Bo and all obligations formerly owed by Bo under the Voting Trust Agreement.</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264" w:lineRule="auto"/>
        <w:tabs>
          <w:tab w:leader="none" w:pos="161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William hereby agrees to assume all obligations, liabilities and duties of Bo under the Voting Trust Agreement with respect to 9% of the equity interests in Guangzhou NetEase and as a direct shareholder of the Advertising Company with respect to the 20% of the equity interests in the Advertising Company and continue to be bound by and to perform the Voting Trust Agreement.</w:t>
      </w:r>
    </w:p>
    <w:p>
      <w:pPr>
        <w:spacing w:after="0" w:line="181" w:lineRule="exact"/>
        <w:rPr>
          <w:rFonts w:ascii="Arial" w:cs="Arial" w:eastAsia="Arial" w:hAnsi="Arial"/>
          <w:sz w:val="18"/>
          <w:szCs w:val="18"/>
          <w:color w:val="auto"/>
        </w:rPr>
      </w:pPr>
    </w:p>
    <w:p>
      <w:pPr>
        <w:ind w:right="160" w:firstLine="1305"/>
        <w:spacing w:after="0" w:line="312" w:lineRule="auto"/>
        <w:tabs>
          <w:tab w:leader="none" w:pos="1628" w:val="left"/>
        </w:tabs>
        <w:numPr>
          <w:ilvl w:val="2"/>
          <w:numId w:val="172"/>
        </w:numPr>
        <w:rPr>
          <w:rFonts w:ascii="Arial" w:cs="Arial" w:eastAsia="Arial" w:hAnsi="Arial"/>
          <w:sz w:val="16"/>
          <w:szCs w:val="16"/>
          <w:color w:val="auto"/>
        </w:rPr>
      </w:pPr>
      <w:r>
        <w:rPr>
          <w:rFonts w:ascii="Arial" w:cs="Arial" w:eastAsia="Arial" w:hAnsi="Arial"/>
          <w:sz w:val="16"/>
          <w:szCs w:val="16"/>
          <w:color w:val="auto"/>
        </w:rPr>
        <w:t>Xiaojun hereby agrees to be bound by and to perform the Voting Trust Agreement in accordance with the terms and conditions contained therein and assumes all obligations, liabilities and duties of Bo thereunder as a shareholder holding 1% of the equity interests in Guangzhou NetEase and an indirect shareholder of the Advertising Company as if Xiaojun was an original party to the Voting Trust Agreement as of the Effective Date.</w:t>
      </w:r>
    </w:p>
    <w:p>
      <w:pPr>
        <w:spacing w:after="0" w:line="146" w:lineRule="exact"/>
        <w:rPr>
          <w:rFonts w:ascii="Arial" w:cs="Arial" w:eastAsia="Arial" w:hAnsi="Arial"/>
          <w:sz w:val="16"/>
          <w:szCs w:val="16"/>
          <w:color w:val="auto"/>
        </w:rPr>
      </w:pPr>
    </w:p>
    <w:p>
      <w:pPr>
        <w:ind w:firstLine="656"/>
        <w:spacing w:after="0" w:line="286" w:lineRule="auto"/>
        <w:tabs>
          <w:tab w:leader="none" w:pos="1296"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Acceptance of Substitute Performance</w:t>
      </w:r>
      <w:r>
        <w:rPr>
          <w:rFonts w:ascii="Arial" w:cs="Arial" w:eastAsia="Arial" w:hAnsi="Arial"/>
          <w:sz w:val="17"/>
          <w:szCs w:val="17"/>
          <w:color w:val="auto"/>
        </w:rPr>
        <w:t>. NetEase Beijing hereby agrees that, effective as of the Effective Date, it shall look solely to William and Xiaojun, as Bo’s respective successors in interest in and to the Voting Trust Agreement, for the performance of the obligations under the Voting Trust Agreement, without recourse to Bo should William and/or Xiaojun fail to perform in their respective capacities.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Removal of Bo as a Party</w:t>
      </w:r>
      <w:r>
        <w:rPr>
          <w:rFonts w:ascii="Arial" w:cs="Arial" w:eastAsia="Arial" w:hAnsi="Arial"/>
          <w:sz w:val="18"/>
          <w:szCs w:val="18"/>
          <w:color w:val="auto"/>
        </w:rPr>
        <w:t>. The parties hereby agree that Bo shall be removed as a party to the Voting Trust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Amendment Relating to Guangzhou NetEase</w:t>
      </w:r>
      <w:r>
        <w:rPr>
          <w:rFonts w:ascii="Arial" w:cs="Arial" w:eastAsia="Arial" w:hAnsi="Arial"/>
          <w:sz w:val="18"/>
          <w:szCs w:val="18"/>
          <w:color w:val="auto"/>
        </w:rPr>
        <w:t>. The Voting Trust Agreement shall be amended as following:</w:t>
      </w:r>
    </w:p>
    <w:p>
      <w:pPr>
        <w:spacing w:after="0" w:line="225" w:lineRule="exact"/>
        <w:rPr>
          <w:rFonts w:ascii="Arial" w:cs="Arial" w:eastAsia="Arial" w:hAnsi="Arial"/>
          <w:sz w:val="18"/>
          <w:szCs w:val="18"/>
          <w:color w:val="auto"/>
        </w:rPr>
      </w:pPr>
    </w:p>
    <w:p>
      <w:pPr>
        <w:ind w:firstLine="1305"/>
        <w:spacing w:after="0" w:line="264" w:lineRule="auto"/>
        <w:tabs>
          <w:tab w:leader="none" w:pos="161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following sentence shall be added to the end of Section 3 as part of Section 3: “Guangzhou NetEase hereby irrevocably entrusts the Company to represent it to exercise all the voting rights to which Guangzhou NetEase is entitled as a shareholder pursuant to applicable laws and the memorandum and articles of association of the Advertising Company.”</w:t>
      </w:r>
    </w:p>
    <w:p>
      <w:pPr>
        <w:spacing w:after="0" w:line="181" w:lineRule="exact"/>
        <w:rPr>
          <w:rFonts w:ascii="Arial" w:cs="Arial" w:eastAsia="Arial" w:hAnsi="Arial"/>
          <w:sz w:val="18"/>
          <w:szCs w:val="18"/>
          <w:color w:val="auto"/>
        </w:rPr>
      </w:pPr>
    </w:p>
    <w:p>
      <w:pPr>
        <w:ind w:right="440" w:firstLine="1305"/>
        <w:spacing w:after="0" w:line="277" w:lineRule="auto"/>
        <w:tabs>
          <w:tab w:leader="none" w:pos="162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following shall be added to the Voting Trust Agreement as Sections 5 and 6 and the existing Sections 5, 6 and 7 shall become Sections 7, 8 and 9 accordingly:</w:t>
      </w:r>
    </w:p>
    <w:p>
      <w:pPr>
        <w:spacing w:after="0" w:line="170" w:lineRule="exact"/>
        <w:rPr>
          <w:rFonts w:ascii="Arial" w:cs="Arial" w:eastAsia="Arial" w:hAnsi="Arial"/>
          <w:sz w:val="18"/>
          <w:szCs w:val="18"/>
          <w:color w:val="auto"/>
        </w:rPr>
      </w:pPr>
    </w:p>
    <w:p>
      <w:pPr>
        <w:jc w:val="both"/>
        <w:ind w:right="100" w:firstLine="2277"/>
        <w:spacing w:after="0" w:line="264" w:lineRule="auto"/>
        <w:tabs>
          <w:tab w:leader="none" w:pos="2614" w:val="left"/>
        </w:tabs>
        <w:numPr>
          <w:ilvl w:val="3"/>
          <w:numId w:val="172"/>
        </w:numPr>
        <w:rPr>
          <w:rFonts w:ascii="Arial" w:cs="Arial" w:eastAsia="Arial" w:hAnsi="Arial"/>
          <w:sz w:val="18"/>
          <w:szCs w:val="18"/>
          <w:color w:val="auto"/>
        </w:rPr>
      </w:pPr>
      <w:r>
        <w:rPr>
          <w:rFonts w:ascii="Arial" w:cs="Arial" w:eastAsia="Arial" w:hAnsi="Arial"/>
          <w:sz w:val="18"/>
          <w:szCs w:val="18"/>
          <w:color w:val="auto"/>
        </w:rPr>
        <w:t>“5. Each of William Lei Ding and Xiaojun Hui hereby irrevocably entrusts the Company to represent him to exercise all the voting rights to which he is entitled as a shareholder of Guangzhou NetEase pursuant to applicable laws and the memorandum and articles of association of Guangzhou NetEase.”</w:t>
      </w:r>
    </w:p>
    <w:p>
      <w:pPr>
        <w:sectPr>
          <w:pgSz w:w="11900" w:h="16850" w:orient="portrait"/>
          <w:cols w:equalWidth="0" w:num="1">
            <w:col w:w="11420"/>
          </w:cols>
          <w:pgMar w:left="240" w:top="121" w:right="239" w:bottom="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2277"/>
        <w:spacing w:after="0" w:line="264" w:lineRule="auto"/>
        <w:tabs>
          <w:tab w:leader="none" w:pos="2624" w:val="left"/>
        </w:tabs>
        <w:numPr>
          <w:ilvl w:val="2"/>
          <w:numId w:val="173"/>
        </w:numPr>
        <w:rPr>
          <w:rFonts w:ascii="Arial" w:cs="Arial" w:eastAsia="Arial" w:hAnsi="Arial"/>
          <w:sz w:val="18"/>
          <w:szCs w:val="18"/>
          <w:color w:val="auto"/>
        </w:rPr>
      </w:pPr>
      <w:r>
        <w:rPr>
          <w:rFonts w:ascii="Arial" w:cs="Arial" w:eastAsia="Arial" w:hAnsi="Arial"/>
          <w:sz w:val="18"/>
          <w:szCs w:val="18"/>
          <w:color w:val="auto"/>
        </w:rPr>
        <w:t>“6. The Company hereby accepts the respective entrustment by William Lei Ding and Xiaojun Hui to represent each of them to exercise all the voting rights to which William Lei Ding and Xiaojun Hui respectively is entitled as a shareholder of Guangzhou NetEase pursuant to applicable laws and the memorandum and articles of association of Guangzhou NetEase.”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Novation Agreement shall be governed by and construed in accordance with the PRC law.</w:t>
      </w:r>
    </w:p>
    <w:p>
      <w:pPr>
        <w:spacing w:after="0" w:line="225" w:lineRule="exact"/>
        <w:rPr>
          <w:rFonts w:ascii="Arial" w:cs="Arial" w:eastAsia="Arial" w:hAnsi="Arial"/>
          <w:sz w:val="18"/>
          <w:szCs w:val="18"/>
          <w:color w:val="auto"/>
        </w:rPr>
      </w:pPr>
    </w:p>
    <w:p>
      <w:pPr>
        <w:ind w:right="160" w:firstLine="1305"/>
        <w:spacing w:after="0" w:line="264" w:lineRule="auto"/>
        <w:tabs>
          <w:tab w:leader="none" w:pos="1628"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All terms and conditions of the Voting Trust Agreement other than those that have been novated and amended by this Novation Agreement shall remain unchanged, and this Novation Agreement, together with the Voting Trust Agreement, constitutes the entire agreement among the Parties relating to the subject matters hereof.</w:t>
      </w:r>
    </w:p>
    <w:p>
      <w:pPr>
        <w:spacing w:after="0" w:line="181" w:lineRule="exact"/>
        <w:rPr>
          <w:rFonts w:ascii="Arial" w:cs="Arial" w:eastAsia="Arial" w:hAnsi="Arial"/>
          <w:sz w:val="18"/>
          <w:szCs w:val="18"/>
          <w:color w:val="auto"/>
        </w:rPr>
      </w:pPr>
    </w:p>
    <w:p>
      <w:pPr>
        <w:ind w:right="120" w:firstLine="1305"/>
        <w:spacing w:after="0" w:line="277" w:lineRule="auto"/>
        <w:tabs>
          <w:tab w:leader="none" w:pos="1631"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Novation Agreement may be executed in counterparts, each of which shall be deemed an original, but all of which together shall constitute on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Novation Agreement has been executed by the parties effective as of the date first set forth above.</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NetEase Information Technology (Beijing) Co., Ltd. (seal)</w:t>
      </w:r>
    </w:p>
    <w:p>
      <w:pPr>
        <w:spacing w:after="0" w:line="200" w:lineRule="exact"/>
        <w:rPr>
          <w:sz w:val="20"/>
          <w:szCs w:val="20"/>
          <w:color w:val="auto"/>
        </w:rPr>
      </w:pPr>
    </w:p>
    <w:p>
      <w:pPr>
        <w:spacing w:after="0" w:line="245"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William Lei Ding</w:t>
            </w: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rPr>
                <w:sz w:val="15"/>
                <w:szCs w:val="15"/>
                <w:color w:val="auto"/>
              </w:rPr>
            </w:pP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p>
        </w:tc>
      </w:tr>
    </w:tbl>
    <w:p>
      <w:pPr>
        <w:spacing w:after="0" w:line="19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Beijing Guangyitong Advertising Co., Ltd. (seal)</w:t>
      </w:r>
    </w:p>
    <w:p>
      <w:pPr>
        <w:spacing w:after="0" w:line="200" w:lineRule="exact"/>
        <w:rPr>
          <w:sz w:val="20"/>
          <w:szCs w:val="20"/>
          <w:color w:val="auto"/>
        </w:rPr>
      </w:pPr>
    </w:p>
    <w:p>
      <w:pPr>
        <w:spacing w:after="0" w:line="245"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William Lei Ding</w:t>
            </w: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rPr>
                <w:sz w:val="15"/>
                <w:szCs w:val="15"/>
                <w:color w:val="auto"/>
              </w:rPr>
            </w:pP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p>
        </w:tc>
      </w:tr>
    </w:tbl>
    <w:p>
      <w:pPr>
        <w:spacing w:after="0" w:line="19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William Lei Ding</w:t>
      </w:r>
    </w:p>
    <w:p>
      <w:pPr>
        <w:spacing w:after="0" w:line="200" w:lineRule="exact"/>
        <w:rPr>
          <w:sz w:val="20"/>
          <w:szCs w:val="20"/>
          <w:color w:val="auto"/>
        </w:rPr>
      </w:pP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Xiaojun Hui</w:t>
      </w:r>
    </w:p>
    <w:p>
      <w:pPr>
        <w:spacing w:after="0" w:line="200" w:lineRule="exact"/>
        <w:rPr>
          <w:sz w:val="20"/>
          <w:szCs w:val="20"/>
          <w:color w:val="auto"/>
        </w:rPr>
      </w:pP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Xiaojun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Bo Ding</w:t>
      </w:r>
    </w:p>
    <w:p>
      <w:pPr>
        <w:spacing w:after="0" w:line="200" w:lineRule="exact"/>
        <w:rPr>
          <w:sz w:val="20"/>
          <w:szCs w:val="20"/>
          <w:color w:val="auto"/>
        </w:rPr>
      </w:pP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Bo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Guangzhou NetEase Computer System Co., Ltd. (seal)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William Lei Ding</w:t>
            </w: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4660" w:type="dxa"/>
            <w:vAlign w:val="bottom"/>
          </w:tcPr>
          <w:p>
            <w:pPr>
              <w:spacing w:after="0"/>
              <w:rPr>
                <w:sz w:val="15"/>
                <w:szCs w:val="15"/>
                <w:color w:val="auto"/>
              </w:rPr>
            </w:pP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856"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Proxy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as of </w:t>
      </w:r>
      <w:r>
        <w:rPr>
          <w:rFonts w:ascii="Arial" w:cs="Arial" w:eastAsia="Arial" w:hAnsi="Arial"/>
          <w:sz w:val="18"/>
          <w:szCs w:val="18"/>
          <w:b w:val="1"/>
          <w:bCs w:val="1"/>
          <w:color w:val="auto"/>
        </w:rPr>
        <w:t>April 15, 2009</w:t>
      </w:r>
      <w:r>
        <w:rPr>
          <w:rFonts w:ascii="Arial" w:cs="Arial" w:eastAsia="Arial" w:hAnsi="Arial"/>
          <w:sz w:val="18"/>
          <w:szCs w:val="18"/>
          <w:color w:val="auto"/>
        </w:rPr>
        <w:t xml:space="preserve"> between the following two parties in Hangzhou.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i w:val="1"/>
          <w:iCs w:val="1"/>
          <w:color w:val="auto"/>
        </w:rPr>
        <w:t>NetEase (Hangzhou) Network Co., Ltd.</w:t>
      </w:r>
      <w:r>
        <w:rPr>
          <w:rFonts w:ascii="Arial" w:cs="Arial" w:eastAsia="Arial" w:hAnsi="Arial"/>
          <w:sz w:val="18"/>
          <w:szCs w:val="18"/>
          <w:color w:val="auto"/>
        </w:rPr>
        <w:t>, a wholly foreign-owned enterprise registered in Hangzhou, PRC under the laws of the PRC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Hu Zhipeng 330106197812210436, a citizen of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right="80" w:hanging="652"/>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Party B and Chen Gang jointly established Hangzhou Leihuo Network Co.,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April 15, 2009, in which Party B owns 50% of the equity interests and Chen Gang owns 50% of the equity interests.</w:t>
      </w:r>
    </w:p>
    <w:p>
      <w:pPr>
        <w:spacing w:after="0" w:line="170"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his/her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i w:val="1"/>
          <w:i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term of this Agreement shall be twenty (20) years and may be extended by agreement between the Parties upon the expiration hereof.</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rFonts w:ascii="Arial" w:cs="Arial" w:eastAsia="Arial" w:hAnsi="Arial"/>
          <w:sz w:val="18"/>
          <w:szCs w:val="18"/>
          <w:color w:val="auto"/>
        </w:rPr>
      </w:pPr>
    </w:p>
    <w:p>
      <w:pPr>
        <w:ind w:left="1300" w:right="80" w:hanging="320"/>
        <w:spacing w:after="0" w:line="257"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(Hangzhou) Network Co., Ltd. (seal)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5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Lei Ding</w:t>
            </w:r>
          </w:p>
        </w:tc>
      </w:tr>
      <w:tr>
        <w:trPr>
          <w:trHeight w:val="182"/>
        </w:trPr>
        <w:tc>
          <w:tcPr>
            <w:tcW w:w="24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400" w:type="dxa"/>
            <w:vAlign w:val="bottom"/>
          </w:tcPr>
          <w:p>
            <w:pPr>
              <w:spacing w:after="0"/>
              <w:rPr>
                <w:sz w:val="15"/>
                <w:szCs w:val="15"/>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spacing w:after="0"/>
              <w:rPr>
                <w:sz w:val="20"/>
                <w:szCs w:val="20"/>
                <w:color w:val="auto"/>
              </w:rPr>
            </w:pPr>
          </w:p>
        </w:tc>
      </w:tr>
    </w:tbl>
    <w:p>
      <w:pPr>
        <w:sectPr>
          <w:pgSz w:w="11900" w:h="16838" w:orient="portrait"/>
          <w:cols w:equalWidth="0" w:num="1">
            <w:col w:w="11420"/>
          </w:cols>
          <w:pgMar w:left="240" w:top="121" w:right="239" w:bottom="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Hu Zhipeng</w:t>
      </w:r>
    </w:p>
    <w:p>
      <w:pPr>
        <w:spacing w:after="0" w:line="22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Hu Zhipeng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43395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Hangzhou Leihuo Network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5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Lei Ding</w:t>
            </w:r>
          </w:p>
        </w:tc>
      </w:tr>
      <w:tr>
        <w:trPr>
          <w:trHeight w:val="182"/>
        </w:trPr>
        <w:tc>
          <w:tcPr>
            <w:tcW w:w="24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400" w:type="dxa"/>
            <w:vAlign w:val="bottom"/>
          </w:tcPr>
          <w:p>
            <w:pPr>
              <w:spacing w:after="0"/>
              <w:rPr>
                <w:sz w:val="15"/>
                <w:szCs w:val="15"/>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spacing w:after="0"/>
              <w:rPr>
                <w:sz w:val="20"/>
                <w:szCs w:val="20"/>
                <w:color w:val="auto"/>
              </w:rPr>
            </w:pPr>
          </w:p>
        </w:tc>
      </w:tr>
    </w:tbl>
    <w:p>
      <w:pPr>
        <w:spacing w:after="0" w:line="20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Proxy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as of </w:t>
      </w:r>
      <w:r>
        <w:rPr>
          <w:rFonts w:ascii="Arial" w:cs="Arial" w:eastAsia="Arial" w:hAnsi="Arial"/>
          <w:sz w:val="18"/>
          <w:szCs w:val="18"/>
          <w:b w:val="1"/>
          <w:bCs w:val="1"/>
          <w:color w:val="auto"/>
        </w:rPr>
        <w:t>April 15, 2009</w:t>
      </w:r>
      <w:r>
        <w:rPr>
          <w:rFonts w:ascii="Arial" w:cs="Arial" w:eastAsia="Arial" w:hAnsi="Arial"/>
          <w:sz w:val="18"/>
          <w:szCs w:val="18"/>
          <w:color w:val="auto"/>
        </w:rPr>
        <w:t xml:space="preserve"> between the following two parties in Hangzhou.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i w:val="1"/>
          <w:iCs w:val="1"/>
          <w:color w:val="auto"/>
        </w:rPr>
        <w:t>NetEase (Hangzhou) Network Co., Ltd.</w:t>
      </w:r>
      <w:r>
        <w:rPr>
          <w:rFonts w:ascii="Arial" w:cs="Arial" w:eastAsia="Arial" w:hAnsi="Arial"/>
          <w:sz w:val="18"/>
          <w:szCs w:val="18"/>
          <w:color w:val="auto"/>
        </w:rPr>
        <w:t>, a wholly foreign-owned enterprise registered in Hangzhou, PRC under the laws of the PRC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Chen Gang 330106197310300431, a citizen of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right="20" w:hanging="652"/>
        <w:spacing w:after="0" w:line="277"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Party B and Hu Zhipeng jointly established Hangzhou Leihuo Network Co.,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April 15, 2009, in which Party B owns 50% of the equity interests and Hu Zhipeng owns 50% of the equity interests.</w:t>
      </w:r>
    </w:p>
    <w:p>
      <w:pPr>
        <w:spacing w:after="0" w:line="170"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his/her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i w:val="1"/>
          <w:i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term of this Agreement shall be twenty (20) years and may be extended by agreement between the Parties upon the expiration hereof.</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rFonts w:ascii="Arial" w:cs="Arial" w:eastAsia="Arial" w:hAnsi="Arial"/>
          <w:sz w:val="18"/>
          <w:szCs w:val="18"/>
          <w:color w:val="auto"/>
        </w:rPr>
      </w:pPr>
    </w:p>
    <w:p>
      <w:pPr>
        <w:ind w:left="1300" w:right="80" w:hanging="320"/>
        <w:spacing w:after="0" w:line="257" w:lineRule="auto"/>
        <w:tabs>
          <w:tab w:leader="none" w:pos="13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(Hangzhou) Network Co., Ltd. (seal)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5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Lei Ding</w:t>
            </w:r>
          </w:p>
        </w:tc>
      </w:tr>
      <w:tr>
        <w:trPr>
          <w:trHeight w:val="182"/>
        </w:trPr>
        <w:tc>
          <w:tcPr>
            <w:tcW w:w="24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500" w:type="dxa"/>
            <w:vAlign w:val="bottom"/>
          </w:tcPr>
          <w:p>
            <w:pPr>
              <w:spacing w:after="0"/>
              <w:rPr>
                <w:sz w:val="15"/>
                <w:szCs w:val="15"/>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p>
        </w:tc>
      </w:tr>
    </w:tbl>
    <w:p>
      <w:pPr>
        <w:sectPr>
          <w:pgSz w:w="11900" w:h="16838" w:orient="portrait"/>
          <w:cols w:equalWidth="0" w:num="1">
            <w:col w:w="11420"/>
          </w:cols>
          <w:pgMar w:left="240" w:top="121" w:right="239" w:bottom="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Chen Gang</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Chen 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44164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Hangzhou Leihuo Network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5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William Lei Ding</w:t>
            </w:r>
          </w:p>
        </w:tc>
      </w:tr>
      <w:tr>
        <w:trPr>
          <w:trHeight w:val="182"/>
        </w:trPr>
        <w:tc>
          <w:tcPr>
            <w:tcW w:w="24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rPr>
                <w:sz w:val="15"/>
                <w:szCs w:val="15"/>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p>
        </w:tc>
      </w:tr>
    </w:tbl>
    <w:p>
      <w:pPr>
        <w:spacing w:after="0" w:line="20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12" w:name="page113"/>
    <w:bookmarkEnd w:id="112"/>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Loan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in Hangzhou as of </w:t>
      </w:r>
      <w:r>
        <w:rPr>
          <w:rFonts w:ascii="Arial" w:cs="Arial" w:eastAsia="Arial" w:hAnsi="Arial"/>
          <w:sz w:val="18"/>
          <w:szCs w:val="18"/>
          <w:b w:val="1"/>
          <w:bCs w:val="1"/>
          <w:color w:val="auto"/>
        </w:rPr>
        <w:t>March 23, 2009</w:t>
      </w:r>
      <w:r>
        <w:rPr>
          <w:rFonts w:ascii="Arial" w:cs="Arial" w:eastAsia="Arial" w:hAnsi="Arial"/>
          <w:sz w:val="18"/>
          <w:szCs w:val="18"/>
          <w:color w:val="auto"/>
        </w:rPr>
        <w:t xml:space="preserve"> by the following parties.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Address: Room 103-105, 1/F, Building 18, No.1 Jiaogong Road, Hangzhou, Zhejiang Province, P. R. China</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b w:val="1"/>
          <w:bCs w:val="1"/>
          <w:color w:val="auto"/>
        </w:rPr>
        <w:t>Hu Zhipeng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ID No.: 330106197812210436</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Foreign Enterprise Service Co., Ltd., No. 14, Chaoyangmen Nandajie, Chaoyang District, Beijing, P. R.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Party A is a wholly-owned foreign enterprise incorporated in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Party B is a citizen of the PRC and owns 50% of the equity interests of Hangzhou Leihuo Network Co.,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incorporated in Hangzhou.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friendly negotiations, the parties hereto agree as follows:</w:t>
      </w:r>
    </w:p>
    <w:p>
      <w:pPr>
        <w:spacing w:after="0" w:line="229" w:lineRule="exact"/>
        <w:rPr>
          <w:sz w:val="20"/>
          <w:szCs w:val="20"/>
          <w:color w:val="auto"/>
        </w:rPr>
      </w:pPr>
    </w:p>
    <w:p>
      <w:pPr>
        <w:ind w:left="660" w:right="20" w:hanging="652"/>
        <w:spacing w:after="0" w:line="277"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Party A agrees to provide an interest-free loan to Party B with an aggregate principal amount of RMB 5,000,000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in accordance with the terms and conditions set forth in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Party B confirms that he has received the total amount of the Loan and has invested it into the Company as a capital contribution.</w:t>
      </w:r>
    </w:p>
    <w:p>
      <w:pPr>
        <w:spacing w:after="0" w:line="225" w:lineRule="exact"/>
        <w:rPr>
          <w:rFonts w:ascii="Arial" w:cs="Arial" w:eastAsia="Arial" w:hAnsi="Arial"/>
          <w:sz w:val="18"/>
          <w:szCs w:val="18"/>
          <w:color w:val="auto"/>
        </w:rPr>
      </w:pPr>
    </w:p>
    <w:p>
      <w:pPr>
        <w:jc w:val="both"/>
        <w:ind w:left="660" w:right="160" w:hanging="652"/>
        <w:spacing w:after="0" w:line="259"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term of the Loan starts from the date when Party B received the Loan until twenty (20) years after the execution of this Agreement and may be extended upon written agreement of the parties hereto. During the term of the Loan or any extension thereof, Party A may notify Party B in writing that the Loan under this Agreement is due and payable immediately and request Party B to repay the Loan in the manner specified herein, if any of the following events occurs: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Party B resigns from or is dismissed by Party A or its affiliates;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Party B dies or becomes a person without capacity or with limited capacity for civil acts;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Party B commits a crime or is involved in a crime;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other third party claims more than RMB100,000 against Party B;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4"/>
        <w:spacing w:after="0" w:line="279" w:lineRule="auto"/>
        <w:tabs>
          <w:tab w:leader="none" w:pos="131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Subject to PRC laws, Party A or its designated person(s) is permitted to invest in the business of value-added telecommunications services, such as Internet information services, as well as other businesses that the Company is engaged in, and Party A has given a written notice to the Company to exercise its option to purchase equity in the Company (the “</w:t>
      </w:r>
      <w:r>
        <w:rPr>
          <w:rFonts w:ascii="Arial" w:cs="Arial" w:eastAsia="Arial" w:hAnsi="Arial"/>
          <w:sz w:val="17"/>
          <w:szCs w:val="17"/>
          <w:b w:val="1"/>
          <w:bCs w:val="1"/>
          <w:i w:val="1"/>
          <w:iCs w:val="1"/>
          <w:color w:val="auto"/>
        </w:rPr>
        <w:t>Equity Option</w:t>
      </w:r>
      <w:r>
        <w:rPr>
          <w:rFonts w:ascii="Arial" w:cs="Arial" w:eastAsia="Arial" w:hAnsi="Arial"/>
          <w:sz w:val="17"/>
          <w:szCs w:val="17"/>
          <w:color w:val="auto"/>
        </w:rPr>
        <w:t>”) in accordance with an Exclusive Purchase Option Agreement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executed by Party A, Party B and the Company.</w:t>
      </w:r>
    </w:p>
    <w:p>
      <w:pPr>
        <w:spacing w:after="0" w:line="171" w:lineRule="exact"/>
        <w:rPr>
          <w:rFonts w:ascii="Arial" w:cs="Arial" w:eastAsia="Arial" w:hAnsi="Arial"/>
          <w:sz w:val="17"/>
          <w:szCs w:val="17"/>
          <w:color w:val="auto"/>
        </w:rPr>
      </w:pPr>
    </w:p>
    <w:p>
      <w:pPr>
        <w:ind w:left="660" w:right="120" w:hanging="652"/>
        <w:spacing w:after="0" w:line="264"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Both Parties hereby agree and confirm that, subject to PRC laws, Party A shall have the right, but not the obligation, to exercise, or designate other persons (including natural persons, legal persons or other entities) to exercise the Equity Option in the manner and at the purchase price specified in the Option Agreement.</w:t>
      </w:r>
    </w:p>
    <w:p>
      <w:pPr>
        <w:spacing w:after="0" w:line="181" w:lineRule="exact"/>
        <w:rPr>
          <w:rFonts w:ascii="Arial" w:cs="Arial" w:eastAsia="Arial" w:hAnsi="Arial"/>
          <w:sz w:val="18"/>
          <w:szCs w:val="18"/>
          <w:color w:val="auto"/>
        </w:rPr>
      </w:pPr>
    </w:p>
    <w:p>
      <w:pPr>
        <w:ind w:left="660" w:right="120" w:hanging="652"/>
        <w:spacing w:after="0" w:line="264"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Both Parties hereby agree and confirm that Party B may repay the Loan only in one of the following repayment methods, and Party B agrees to take all actions (including executing and delivering documents or calling shareholders’ meetings) necessary or advisable to implement either of these methods.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Offset Payment with Equity Option</w:t>
      </w:r>
    </w:p>
    <w:p>
      <w:pPr>
        <w:spacing w:after="0" w:line="225" w:lineRule="exact"/>
        <w:rPr>
          <w:rFonts w:ascii="Arial" w:cs="Arial" w:eastAsia="Arial" w:hAnsi="Arial"/>
          <w:sz w:val="18"/>
          <w:szCs w:val="18"/>
          <w:color w:val="auto"/>
        </w:rPr>
      </w:pPr>
    </w:p>
    <w:p>
      <w:pPr>
        <w:ind w:left="1300" w:right="80"/>
        <w:spacing w:after="0" w:line="255" w:lineRule="auto"/>
        <w:rPr>
          <w:rFonts w:ascii="Arial" w:cs="Arial" w:eastAsia="Arial" w:hAnsi="Arial"/>
          <w:sz w:val="18"/>
          <w:szCs w:val="18"/>
          <w:color w:val="auto"/>
        </w:rPr>
      </w:pPr>
      <w:r>
        <w:rPr>
          <w:rFonts w:ascii="Arial" w:cs="Arial" w:eastAsia="Arial" w:hAnsi="Arial"/>
          <w:sz w:val="18"/>
          <w:szCs w:val="18"/>
          <w:color w:val="auto"/>
        </w:rPr>
        <w:t>Each time Party A exercises the Equity Option, the Purchase Price (as defined in Article 1.3 of the Option Agreement) payable by Party A or its designated person(s) for such Equity Option exercise shall be applied by Party A, as provided for in Article 1.5.1 of the Option Agreement, to offset the outstanding amount of the Loan (with such offset payment applied to the principal, interest and capital utilization costs for the Loan as set forth in Article 6 of this Agreement), provided that the portion of the Purchase Price payable in cash to Party B for any tax obligation incurred by Party B in connection with the Equity Option exercise shall not be applied to offset any amount outstanding under the Loan. The portion of the Purchase Price applied to offset any amount outstanding under the Loan is referred to as an “</w:t>
      </w:r>
      <w:r>
        <w:rPr>
          <w:rFonts w:ascii="Arial" w:cs="Arial" w:eastAsia="Arial" w:hAnsi="Arial"/>
          <w:sz w:val="18"/>
          <w:szCs w:val="18"/>
          <w:b w:val="1"/>
          <w:bCs w:val="1"/>
          <w:i w:val="1"/>
          <w:iCs w:val="1"/>
          <w:color w:val="auto"/>
        </w:rPr>
        <w:t>Offset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Mutual Agreement.</w:t>
      </w:r>
    </w:p>
    <w:p>
      <w:pPr>
        <w:spacing w:after="0" w:line="225" w:lineRule="exact"/>
        <w:rPr>
          <w:sz w:val="20"/>
          <w:szCs w:val="20"/>
          <w:color w:val="auto"/>
        </w:rPr>
      </w:pPr>
    </w:p>
    <w:p>
      <w:pPr>
        <w:jc w:val="both"/>
        <w:ind w:left="1280" w:right="120"/>
        <w:spacing w:after="0" w:line="264" w:lineRule="auto"/>
        <w:rPr>
          <w:sz w:val="20"/>
          <w:szCs w:val="20"/>
          <w:color w:val="auto"/>
        </w:rPr>
      </w:pPr>
      <w:r>
        <w:rPr>
          <w:rFonts w:ascii="Arial" w:cs="Arial" w:eastAsia="Arial" w:hAnsi="Arial"/>
          <w:sz w:val="18"/>
          <w:szCs w:val="18"/>
          <w:color w:val="auto"/>
        </w:rPr>
        <w:t>When Article 5(a) above does not apply, if Party A in its sole discretion decides that the Loan may be repaid by another method, then Party B may pay to Party A the outstanding amount of the Loan (including any interest and capital utilization costs) in cash or other property, as determined by Party A, following any conditions or procedures specified by Party A.</w:t>
      </w:r>
    </w:p>
    <w:p>
      <w:pPr>
        <w:sectPr>
          <w:pgSz w:w="11900" w:h="16850" w:orient="portrait"/>
          <w:cols w:equalWidth="0" w:num="1">
            <w:col w:w="11420"/>
          </w:cols>
          <w:pgMar w:left="240" w:top="121" w:right="239" w:bottom="0" w:gutter="0" w:footer="0" w:header="0"/>
        </w:sectPr>
      </w:pPr>
    </w:p>
    <w:bookmarkStart w:id="113" w:name="page114"/>
    <w:bookmarkEnd w:id="113"/>
    <w:p>
      <w:pPr>
        <w:spacing w:after="0" w:line="90" w:lineRule="exact"/>
        <w:rPr>
          <w:sz w:val="20"/>
          <w:szCs w:val="20"/>
          <w:color w:val="auto"/>
        </w:rPr>
      </w:pPr>
    </w:p>
    <w:p>
      <w:pPr>
        <w:ind w:left="652" w:right="180" w:hanging="652"/>
        <w:spacing w:after="0" w:line="308" w:lineRule="auto"/>
        <w:tabs>
          <w:tab w:leader="none" w:pos="6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Both Parties hereby agree and confirm that the Loan is interest-free, except as otherwise provided for herein. Each time an Offset Payment occurs pursuant to Article 5(a), the Offset Payment shall be applied to the outstanding amount of the Loan in the following manner.</w:t>
      </w:r>
    </w:p>
    <w:p>
      <w:pPr>
        <w:spacing w:after="0" w:line="146" w:lineRule="exact"/>
        <w:rPr>
          <w:rFonts w:ascii="Arial" w:cs="Arial" w:eastAsia="Arial" w:hAnsi="Arial"/>
          <w:sz w:val="17"/>
          <w:szCs w:val="17"/>
          <w:color w:val="auto"/>
        </w:rPr>
      </w:pPr>
    </w:p>
    <w:p>
      <w:pPr>
        <w:ind w:left="1292" w:right="500" w:hanging="644"/>
        <w:spacing w:after="0" w:line="342" w:lineRule="auto"/>
        <w:tabs>
          <w:tab w:leader="none" w:pos="1289"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If all of Party B’s equity interests in the Company are transferred to Party A or its designated person(s) in accordance with the Option Agreement, then at the time such transfer is completed, the Loan shall be deemed to have been repaid in full by the Offset Payment.</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0" w:hanging="644"/>
        <w:spacing w:after="0" w:line="259" w:lineRule="auto"/>
        <w:tabs>
          <w:tab w:leader="none" w:pos="129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If the Loan is not repaid in full under Article 6(a) because less than all of Party B’s equity interests in the Company were transferred to Party A or its designated person(s), then the Offset Payment shall repay a portion of the principal outstanding on the Loan, with such portion equal to the outstanding Loan principal multiplied by the percentage of Party B’s total equity interests in the Company transferred in the Equity Option exercise.</w:t>
      </w:r>
    </w:p>
    <w:p>
      <w:pPr>
        <w:spacing w:after="0" w:line="186" w:lineRule="exact"/>
        <w:rPr>
          <w:rFonts w:ascii="Arial" w:cs="Arial" w:eastAsia="Arial" w:hAnsi="Arial"/>
          <w:sz w:val="18"/>
          <w:szCs w:val="18"/>
          <w:color w:val="auto"/>
        </w:rPr>
      </w:pPr>
    </w:p>
    <w:p>
      <w:pPr>
        <w:ind w:left="1292" w:right="720" w:hanging="644"/>
        <w:spacing w:after="0" w:line="342" w:lineRule="auto"/>
        <w:tabs>
          <w:tab w:leader="none" w:pos="130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If the Offset Payment exceeds the principal deemed fully repaid by Article 6(b), the amount of such excess shall be deemed, to the maximum extent permitted by applicable law, as a repayment to Party A of interest and capital utilization costs for the Loan.</w:t>
      </w:r>
    </w:p>
    <w:p>
      <w:pPr>
        <w:spacing w:after="0" w:line="123" w:lineRule="exact"/>
        <w:rPr>
          <w:rFonts w:ascii="Arial" w:cs="Arial" w:eastAsia="Arial" w:hAnsi="Arial"/>
          <w:sz w:val="16"/>
          <w:szCs w:val="16"/>
          <w:color w:val="auto"/>
        </w:rPr>
      </w:pPr>
    </w:p>
    <w:p>
      <w:pPr>
        <w:ind w:left="652" w:right="20" w:hanging="652"/>
        <w:spacing w:after="0" w:line="277" w:lineRule="auto"/>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Both Parties hereby agree and confirm that Party B shall be deemed to have fully performed his obligations under this Agreement, and the Loan shall be deemed to have been fully repaid, if and only if one of the following occurs:</w:t>
      </w:r>
    </w:p>
    <w:p>
      <w:pPr>
        <w:spacing w:after="0" w:line="170" w:lineRule="exact"/>
        <w:rPr>
          <w:rFonts w:ascii="Arial" w:cs="Arial" w:eastAsia="Arial" w:hAnsi="Arial"/>
          <w:sz w:val="18"/>
          <w:szCs w:val="18"/>
          <w:color w:val="auto"/>
        </w:rPr>
      </w:pPr>
    </w:p>
    <w:p>
      <w:pPr>
        <w:ind w:left="1292" w:right="300" w:hanging="644"/>
        <w:spacing w:after="0" w:line="259" w:lineRule="auto"/>
        <w:tabs>
          <w:tab w:leader="none" w:pos="128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pursuant to Articles 5(a) and 6, after one or more exercises of the Equity Option, Party B has transferred all his equity interests in the Company to Party A and/or its designated person(s) and the total proceeds from such transfer(s) or the maximum amount (including principal, interest and capital utilization costs) allowed by applicable law have been applied to the Loan as one or more Offset Payments under Article 5(a); or</w:t>
      </w:r>
    </w:p>
    <w:p>
      <w:pPr>
        <w:spacing w:after="0" w:line="186" w:lineRule="exact"/>
        <w:rPr>
          <w:rFonts w:ascii="Arial" w:cs="Arial" w:eastAsia="Arial" w:hAnsi="Arial"/>
          <w:sz w:val="18"/>
          <w:szCs w:val="18"/>
          <w:color w:val="auto"/>
        </w:rPr>
      </w:pPr>
    </w:p>
    <w:p>
      <w:pPr>
        <w:ind w:left="1292" w:right="100" w:hanging="644"/>
        <w:spacing w:after="0" w:line="277" w:lineRule="auto"/>
        <w:tabs>
          <w:tab w:leader="none" w:pos="129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pursuant to Article 5(b), the Loan is fully repaid in the manner determined by Party A, following any conditions or procedures specified by Party A.</w:t>
      </w:r>
    </w:p>
    <w:p>
      <w:pPr>
        <w:spacing w:after="0" w:line="170" w:lineRule="exact"/>
        <w:rPr>
          <w:rFonts w:ascii="Arial" w:cs="Arial" w:eastAsia="Arial" w:hAnsi="Arial"/>
          <w:sz w:val="18"/>
          <w:szCs w:val="18"/>
          <w:color w:val="auto"/>
        </w:rPr>
      </w:pPr>
    </w:p>
    <w:p>
      <w:pPr>
        <w:ind w:left="652" w:right="180" w:hanging="652"/>
        <w:spacing w:after="0" w:line="342" w:lineRule="auto"/>
        <w:tabs>
          <w:tab w:leader="none" w:pos="6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To secure the performance of his obligations under this Agreement, Party B agrees to pledge all his equity interests in the Company to Party A (the “</w:t>
      </w:r>
      <w:r>
        <w:rPr>
          <w:rFonts w:ascii="Arial" w:cs="Arial" w:eastAsia="Arial" w:hAnsi="Arial"/>
          <w:sz w:val="16"/>
          <w:szCs w:val="16"/>
          <w:b w:val="1"/>
          <w:bCs w:val="1"/>
          <w:i w:val="1"/>
          <w:iCs w:val="1"/>
          <w:color w:val="auto"/>
        </w:rPr>
        <w:t>Equity Pledge</w:t>
      </w:r>
      <w:r>
        <w:rPr>
          <w:rFonts w:ascii="Arial" w:cs="Arial" w:eastAsia="Arial" w:hAnsi="Arial"/>
          <w:sz w:val="16"/>
          <w:szCs w:val="16"/>
          <w:color w:val="auto"/>
        </w:rPr>
        <w:t>”). Both Parties agree to execute an Equity Pledge Agreement (the “</w:t>
      </w:r>
      <w:r>
        <w:rPr>
          <w:rFonts w:ascii="Arial" w:cs="Arial" w:eastAsia="Arial" w:hAnsi="Arial"/>
          <w:sz w:val="16"/>
          <w:szCs w:val="16"/>
          <w:b w:val="1"/>
          <w:bCs w:val="1"/>
          <w:i w:val="1"/>
          <w:iCs w:val="1"/>
          <w:color w:val="auto"/>
        </w:rPr>
        <w:t>Equity Pledge Agreement</w:t>
      </w:r>
      <w:r>
        <w:rPr>
          <w:rFonts w:ascii="Arial" w:cs="Arial" w:eastAsia="Arial" w:hAnsi="Arial"/>
          <w:sz w:val="16"/>
          <w:szCs w:val="16"/>
          <w:color w:val="auto"/>
        </w:rPr>
        <w:t>”) in connection with this pledge.</w:t>
      </w:r>
    </w:p>
    <w:p>
      <w:pPr>
        <w:spacing w:after="0" w:line="123" w:lineRule="exact"/>
        <w:rPr>
          <w:rFonts w:ascii="Arial" w:cs="Arial" w:eastAsia="Arial" w:hAnsi="Arial"/>
          <w:sz w:val="16"/>
          <w:szCs w:val="16"/>
          <w:color w:val="auto"/>
        </w:rPr>
      </w:pPr>
    </w:p>
    <w:p>
      <w:pPr>
        <w:ind w:left="652" w:hanging="652"/>
        <w:spacing w:after="0"/>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Party A hereby represents and warrants to Party B that, as of the execution date of this Agreement: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and validly existing under the laws of PRC;</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Party A has the right to execute and perform this Agreement. The execution and performance of this Agreement by Party A comply with its business scope, articles of association and other organizational documents. Party A has obtained all necessary and appropriate approvals and authorizations for the execution and performance of this Agreement;</w:t>
      </w:r>
    </w:p>
    <w:p>
      <w:pPr>
        <w:spacing w:after="0" w:line="181" w:lineRule="exact"/>
        <w:rPr>
          <w:rFonts w:ascii="Arial" w:cs="Arial" w:eastAsia="Arial" w:hAnsi="Arial"/>
          <w:sz w:val="18"/>
          <w:szCs w:val="18"/>
          <w:color w:val="auto"/>
        </w:rPr>
      </w:pPr>
    </w:p>
    <w:p>
      <w:pPr>
        <w:ind w:left="1312" w:hanging="664"/>
        <w:spacing w:after="0"/>
        <w:tabs>
          <w:tab w:leader="none" w:pos="131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principal of the Loan to Party B is legally owned by Party A;</w:t>
      </w:r>
    </w:p>
    <w:p>
      <w:pPr>
        <w:spacing w:after="0" w:line="225" w:lineRule="exact"/>
        <w:rPr>
          <w:rFonts w:ascii="Arial" w:cs="Arial" w:eastAsia="Arial" w:hAnsi="Arial"/>
          <w:sz w:val="18"/>
          <w:szCs w:val="18"/>
          <w:color w:val="auto"/>
        </w:rPr>
      </w:pPr>
    </w:p>
    <w:p>
      <w:pPr>
        <w:jc w:val="both"/>
        <w:ind w:left="1292" w:right="100" w:hanging="644"/>
        <w:spacing w:after="0" w:line="264" w:lineRule="auto"/>
        <w:tabs>
          <w:tab w:leader="none" w:pos="129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execution and performance of this Agreement by Party A do not violate any laws, regulations, approvals, authorizations, notices, other governmental documents to which Party A is subject, any agreement signed by it with any third party or any undertaking made by it to any third party; and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12" w:hanging="664"/>
        <w:spacing w:after="0"/>
        <w:tabs>
          <w:tab w:leader="none" w:pos="131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When executed by the Parties hereto, this Agreement shall constitute the legal, valid and binding obligations of Party A.</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Party B hereby represents and warrants to Party A that, from the execution date of this Agreement until this Agreement terminates:</w:t>
      </w:r>
    </w:p>
    <w:p>
      <w:pPr>
        <w:spacing w:after="0" w:line="225" w:lineRule="exact"/>
        <w:rPr>
          <w:rFonts w:ascii="Arial" w:cs="Arial" w:eastAsia="Arial" w:hAnsi="Arial"/>
          <w:sz w:val="18"/>
          <w:szCs w:val="18"/>
          <w:color w:val="auto"/>
        </w:rPr>
      </w:pPr>
    </w:p>
    <w:p>
      <w:pPr>
        <w:ind w:left="1292" w:right="300" w:hanging="644"/>
        <w:spacing w:after="0" w:line="277" w:lineRule="auto"/>
        <w:tabs>
          <w:tab w:leader="none" w:pos="128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is a limited liability company incorporated and validly existing under the laws of PRC and Party B is a legal holder of the equity interest of the Company;</w:t>
      </w:r>
    </w:p>
    <w:p>
      <w:pPr>
        <w:spacing w:after="0" w:line="170" w:lineRule="exact"/>
        <w:rPr>
          <w:rFonts w:ascii="Arial" w:cs="Arial" w:eastAsia="Arial" w:hAnsi="Arial"/>
          <w:sz w:val="18"/>
          <w:szCs w:val="18"/>
          <w:color w:val="auto"/>
        </w:rPr>
      </w:pPr>
    </w:p>
    <w:p>
      <w:pPr>
        <w:jc w:val="both"/>
        <w:ind w:left="1292" w:right="20" w:hanging="644"/>
        <w:spacing w:after="0" w:line="264" w:lineRule="auto"/>
        <w:tabs>
          <w:tab w:leader="none" w:pos="129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Party B has the right to execute and perform this Agreement. The execution and performance of this Agreement by Party B comply with its business scope, articles of association and other organizational documents. Party B has obtained all necessary and appropriate approvals and authorizations for the execution and performance of this Agreement;</w:t>
      </w:r>
    </w:p>
    <w:p>
      <w:pPr>
        <w:spacing w:after="0" w:line="181" w:lineRule="exact"/>
        <w:rPr>
          <w:rFonts w:ascii="Arial" w:cs="Arial" w:eastAsia="Arial" w:hAnsi="Arial"/>
          <w:sz w:val="18"/>
          <w:szCs w:val="18"/>
          <w:color w:val="auto"/>
        </w:rPr>
      </w:pPr>
    </w:p>
    <w:p>
      <w:pPr>
        <w:ind w:left="1292" w:right="120" w:hanging="644"/>
        <w:spacing w:after="0" w:line="264" w:lineRule="auto"/>
        <w:tabs>
          <w:tab w:leader="none" w:pos="130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execution and the performance of this Agreement by Party B do not violate any laws, regulations, approvals, authorizations, notices, other governmental documents to which Party B is subject, any agreement signed by Party B with any third party or any undertaking made by Party B to any third party;</w:t>
      </w:r>
    </w:p>
    <w:p>
      <w:pPr>
        <w:spacing w:after="0" w:line="181" w:lineRule="exact"/>
        <w:rPr>
          <w:rFonts w:ascii="Arial" w:cs="Arial" w:eastAsia="Arial" w:hAnsi="Arial"/>
          <w:sz w:val="18"/>
          <w:szCs w:val="18"/>
          <w:color w:val="auto"/>
        </w:rPr>
      </w:pPr>
    </w:p>
    <w:p>
      <w:pPr>
        <w:ind w:left="1312" w:hanging="664"/>
        <w:spacing w:after="0"/>
        <w:tabs>
          <w:tab w:leader="none" w:pos="131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When executed by the Parties hereto, this Agreement shall constitute the legal, valid and binding obligations of Party B;</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Party B has paid contribution in full for its equity interests in the Company in accordance with applicable laws and regulations;</w:t>
      </w:r>
    </w:p>
    <w:p>
      <w:pPr>
        <w:spacing w:after="0" w:line="225" w:lineRule="exact"/>
        <w:rPr>
          <w:rFonts w:ascii="Arial" w:cs="Arial" w:eastAsia="Arial" w:hAnsi="Arial"/>
          <w:sz w:val="18"/>
          <w:szCs w:val="18"/>
          <w:color w:val="auto"/>
        </w:rPr>
      </w:pPr>
    </w:p>
    <w:p>
      <w:pPr>
        <w:jc w:val="both"/>
        <w:ind w:left="1292" w:right="140" w:hanging="644"/>
        <w:spacing w:after="0" w:line="264" w:lineRule="auto"/>
        <w:tabs>
          <w:tab w:leader="none" w:pos="129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Except pursuant to the Equity Pledge Agreement and Option Agreement, Party B has not pledged or created any other security interest on, made any offer to any third party to transfer, accepted the offer of any third party to purchase, or execute agreement with any third party to transfer, Party B’s equity interests in the Company;</w:t>
      </w:r>
    </w:p>
    <w:p>
      <w:pPr>
        <w:spacing w:after="0" w:line="181" w:lineRule="exact"/>
        <w:rPr>
          <w:rFonts w:ascii="Arial" w:cs="Arial" w:eastAsia="Arial" w:hAnsi="Arial"/>
          <w:sz w:val="18"/>
          <w:szCs w:val="18"/>
          <w:color w:val="auto"/>
        </w:rPr>
      </w:pPr>
    </w:p>
    <w:p>
      <w:pPr>
        <w:ind w:left="1292" w:right="660" w:hanging="644"/>
        <w:spacing w:after="0" w:line="277" w:lineRule="auto"/>
        <w:tabs>
          <w:tab w:leader="none" w:pos="131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There are no pending or threatened disputes, litigation, arbitration or other administrative proceedings or other legal proceedings in connection with the equity interests of the Company held by Party B; and</w:t>
      </w:r>
    </w:p>
    <w:p>
      <w:pPr>
        <w:sectPr>
          <w:pgSz w:w="11900" w:h="16929" w:orient="portrait"/>
          <w:cols w:equalWidth="0" w:num="1">
            <w:col w:w="11412"/>
          </w:cols>
          <w:pgMar w:left="248" w:top="341" w:right="239" w:bottom="0" w:gutter="0" w:footer="0" w:header="0"/>
        </w:sectPr>
      </w:pPr>
    </w:p>
    <w:bookmarkStart w:id="114" w:name="page115"/>
    <w:bookmarkEnd w:id="114"/>
    <w:p>
      <w:pPr>
        <w:ind w:left="1320" w:hanging="664"/>
        <w:spacing w:after="0"/>
        <w:tabs>
          <w:tab w:leader="none" w:pos="13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has completed all necessary governmental approval, license, registration and filing.</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Party B covenants that it shall, during the term of this Agreement:</w:t>
      </w:r>
    </w:p>
    <w:p>
      <w:pPr>
        <w:spacing w:after="0" w:line="225" w:lineRule="exact"/>
        <w:rPr>
          <w:rFonts w:ascii="Arial" w:cs="Arial" w:eastAsia="Arial" w:hAnsi="Arial"/>
          <w:sz w:val="18"/>
          <w:szCs w:val="18"/>
          <w:color w:val="auto"/>
        </w:rPr>
      </w:pPr>
    </w:p>
    <w:p>
      <w:pPr>
        <w:ind w:left="1300" w:right="220" w:hanging="644"/>
        <w:spacing w:after="0" w:line="264" w:lineRule="auto"/>
        <w:tabs>
          <w:tab w:leader="none" w:pos="129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Not sell, transfer, pledge or dispose in any other manner of his equity or other interests in the Company, or allow the creation of other security interests thereon, without Party A’s prior written consent, except for equity pledges or other rights created for the benefit of Party A;</w:t>
      </w:r>
    </w:p>
    <w:p>
      <w:pPr>
        <w:spacing w:after="0" w:line="181" w:lineRule="exact"/>
        <w:rPr>
          <w:rFonts w:ascii="Arial" w:cs="Arial" w:eastAsia="Arial" w:hAnsi="Arial"/>
          <w:sz w:val="18"/>
          <w:szCs w:val="18"/>
          <w:color w:val="auto"/>
        </w:rPr>
      </w:pPr>
    </w:p>
    <w:p>
      <w:pPr>
        <w:ind w:left="1300" w:right="600" w:hanging="644"/>
        <w:spacing w:after="0" w:line="312" w:lineRule="auto"/>
        <w:tabs>
          <w:tab w:leader="none" w:pos="130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Not vote at any shareholders’ meeting of the Company or execute any shareholders’ resolutions approving the sale, transfer, pledge, disposition in any other manner, or the creation of any other security interest on, any legal or beneficial interest in the equity of the Company without Party A’s prior written consent, except to or for the benefit of Party A or its designated person(s);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60" w:hanging="644"/>
        <w:spacing w:after="0" w:line="277" w:lineRule="auto"/>
        <w:tabs>
          <w:tab w:leader="none" w:pos="131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Not vote at any shareholders’ meeting of the Company or execute any shareholders’ resolutions approving the Company to merge or combine with, acquire or invest in any person without Party A’s prior written consent;</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Promptly inform Party A of any pending or threatened litigation, arbitration or regulatory proceeding concerning the equity interests of the Company;</w:t>
      </w:r>
    </w:p>
    <w:p>
      <w:pPr>
        <w:spacing w:after="0" w:line="170" w:lineRule="exact"/>
        <w:rPr>
          <w:rFonts w:ascii="Arial" w:cs="Arial" w:eastAsia="Arial" w:hAnsi="Arial"/>
          <w:sz w:val="18"/>
          <w:szCs w:val="18"/>
          <w:color w:val="auto"/>
        </w:rPr>
      </w:pPr>
    </w:p>
    <w:p>
      <w:pPr>
        <w:ind w:left="1300" w:right="360" w:hanging="644"/>
        <w:spacing w:after="0" w:line="342" w:lineRule="auto"/>
        <w:tabs>
          <w:tab w:leader="none" w:pos="131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Execute all necessary or appropriate documents, take all necessary or appropriate actions, bring all necessary or appropriate lawsuits or assert all necessary and appropriate defenses against all claims in order to maintain his equity interests of the Company;</w:t>
      </w:r>
    </w:p>
    <w:p>
      <w:pPr>
        <w:spacing w:after="0" w:line="123" w:lineRule="exact"/>
        <w:rPr>
          <w:rFonts w:ascii="Arial" w:cs="Arial" w:eastAsia="Arial" w:hAnsi="Arial"/>
          <w:sz w:val="16"/>
          <w:szCs w:val="16"/>
          <w:color w:val="auto"/>
        </w:rPr>
      </w:pPr>
    </w:p>
    <w:p>
      <w:pPr>
        <w:ind w:left="1300" w:hanging="644"/>
        <w:spacing w:after="0" w:line="277" w:lineRule="auto"/>
        <w:tabs>
          <w:tab w:leader="none" w:pos="130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Not commit any act or omission that may materially affect the assets, business and liabilities of the Company without Party A’s prior written consent;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Appoint any person nominated by Party A to be the director of the Company;</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Upon Party A’s exercise of the Equity Option, promptly take any actions (including signing and delivering documents) necessary or advisable to effect such exercise of the Equity Option;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Not request the Company to distribute dividends or profits;</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Once he has transferred his equity interests in the Company to Party A or its designated person(s), promptly repay, subject to applicable laws, the proceeds received for such transfer in full, as the Loan principal and Loan interests or capital utilization costs allowed by laws, to Party A; and</w:t>
      </w:r>
    </w:p>
    <w:p>
      <w:pPr>
        <w:spacing w:after="0" w:line="181" w:lineRule="exact"/>
        <w:rPr>
          <w:rFonts w:ascii="Arial" w:cs="Arial" w:eastAsia="Arial" w:hAnsi="Arial"/>
          <w:sz w:val="18"/>
          <w:szCs w:val="18"/>
          <w:color w:val="auto"/>
        </w:rPr>
      </w:pPr>
    </w:p>
    <w:p>
      <w:pPr>
        <w:ind w:left="1300" w:right="560" w:hanging="644"/>
        <w:spacing w:after="0" w:line="277" w:lineRule="auto"/>
        <w:tabs>
          <w:tab w:leader="none" w:pos="130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Comply strictly with the terms of this Agreement, and perform the obligations pursuant to this Agreement and not commit any act or omission that would affect the validity and enforceability of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Party B, as the shareholder of the Company, covenants that he shall cause the Company, during the term of this Agreement:</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29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 to supplement, amend or modify its articles of association, or to increase or decrease its registered capital, or to change its capital structure in any way without Party A’s prior written consent;</w:t>
      </w:r>
    </w:p>
    <w:p>
      <w:pPr>
        <w:spacing w:after="0" w:line="170" w:lineRule="exact"/>
        <w:rPr>
          <w:rFonts w:ascii="Arial" w:cs="Arial" w:eastAsia="Arial" w:hAnsi="Arial"/>
          <w:sz w:val="18"/>
          <w:szCs w:val="18"/>
          <w:color w:val="auto"/>
        </w:rPr>
      </w:pPr>
    </w:p>
    <w:p>
      <w:pPr>
        <w:ind w:left="1300" w:right="580" w:hanging="644"/>
        <w:spacing w:after="0" w:line="277" w:lineRule="auto"/>
        <w:tabs>
          <w:tab w:leader="none" w:pos="130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maintain and operate its business and deal with matters prudently and effectively, in accordance with good financial and business rules and practices;</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1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 to sell, transfer, mortgage, dispose of in any other manner, or to create other security interest on, any of its assets, business or legal or beneficial right to its revenues without Party A’s prior written consent;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Not to create, succeed to, guarantee or permit any liability, without the Party A’s prior written consent, except (i) the liability arising from the ordinary course of business, but not arising through Party B; and (ii) the liability reported to and approved by Party A in writing;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operate all the business of the Company so as to maintain the value of its assets;</w:t>
      </w:r>
    </w:p>
    <w:p>
      <w:pPr>
        <w:spacing w:after="0" w:line="225" w:lineRule="exact"/>
        <w:rPr>
          <w:rFonts w:ascii="Arial" w:cs="Arial" w:eastAsia="Arial" w:hAnsi="Arial"/>
          <w:sz w:val="18"/>
          <w:szCs w:val="18"/>
          <w:color w:val="auto"/>
        </w:rPr>
      </w:pPr>
    </w:p>
    <w:p>
      <w:pPr>
        <w:ind w:left="1300" w:right="580" w:hanging="644"/>
        <w:spacing w:after="0" w:line="342" w:lineRule="auto"/>
        <w:tabs>
          <w:tab w:leader="none" w:pos="130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 to execute any material contracts (for the purpose of this paragraph, a contract will be deemed material if the value of it exceeds RMB100,000), without Party A’s prior written consent, other than those executed during the ordinary course of business;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provide information concerning all of its operation and financial affairs upon Party A’s request;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to merge or combine with, acquire or invest in, any other person without Party A’s prior written consent;</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2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to issue dividends to shareholders in any form without Party A’s prior written consent. However, the Company shall promptly distribute all its distributable profits to each of its shareholders upon Party A’s request;</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inform promptly Party A of any pending or threatened suit, arbitration or regulatory proceeding concerning the assets, business or revenue of the Company;</w:t>
      </w:r>
    </w:p>
    <w:p>
      <w:pPr>
        <w:sectPr>
          <w:pgSz w:w="11900" w:h="16838" w:orient="portrait"/>
          <w:cols w:equalWidth="0" w:num="1">
            <w:col w:w="11420"/>
          </w:cols>
          <w:pgMar w:left="240" w:top="341" w:right="239" w:bottom="0" w:gutter="0" w:footer="0" w:header="0"/>
        </w:sectPr>
      </w:pPr>
    </w:p>
    <w:bookmarkStart w:id="115" w:name="page116"/>
    <w:bookmarkEnd w:id="115"/>
    <w:p>
      <w:pPr>
        <w:ind w:left="1300" w:right="140" w:hanging="644"/>
        <w:spacing w:after="0" w:line="308" w:lineRule="auto"/>
        <w:tabs>
          <w:tab w:leader="none" w:pos="130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To execute all necessary or appropriate documents, take all necessary or appropriate actions, bring all necessary or appropriate lawsuits or assert all necessary and appropriate defenses against all claims in order to maintain the ownership of all its assets;</w:t>
      </w:r>
    </w:p>
    <w:p>
      <w:pPr>
        <w:spacing w:after="0" w:line="146" w:lineRule="exact"/>
        <w:rPr>
          <w:rFonts w:ascii="Arial" w:cs="Arial" w:eastAsia="Arial" w:hAnsi="Arial"/>
          <w:sz w:val="17"/>
          <w:szCs w:val="17"/>
          <w:color w:val="auto"/>
        </w:rPr>
      </w:pPr>
    </w:p>
    <w:p>
      <w:pPr>
        <w:ind w:left="1300" w:right="420" w:hanging="644"/>
        <w:spacing w:after="0" w:line="264" w:lineRule="auto"/>
        <w:tabs>
          <w:tab w:leader="none" w:pos="132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To comply strictly with the terms of the Cooperation Agreement and other agreements between Party A and the Company, perform its obligations under aforesaid agreements, and not commit any act or omission that would affect the validity and enforceability of such agreements;</w:t>
      </w:r>
    </w:p>
    <w:p>
      <w:pPr>
        <w:spacing w:after="0" w:line="181" w:lineRule="exact"/>
        <w:rPr>
          <w:rFonts w:ascii="Arial" w:cs="Arial" w:eastAsia="Arial" w:hAnsi="Arial"/>
          <w:sz w:val="18"/>
          <w:szCs w:val="18"/>
          <w:color w:val="auto"/>
        </w:rPr>
      </w:pPr>
    </w:p>
    <w:p>
      <w:pPr>
        <w:ind w:left="1300" w:right="140" w:hanging="644"/>
        <w:spacing w:after="0" w:line="277" w:lineRule="auto"/>
        <w:tabs>
          <w:tab w:leader="none" w:pos="130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To promptly take any actions (including signing and delivering documents) necessary or advisable to effect any exercise by Party A of the Equity Option.</w:t>
      </w:r>
    </w:p>
    <w:p>
      <w:pPr>
        <w:spacing w:after="0" w:line="170" w:lineRule="exact"/>
        <w:rPr>
          <w:rFonts w:ascii="Arial" w:cs="Arial" w:eastAsia="Arial" w:hAnsi="Arial"/>
          <w:sz w:val="18"/>
          <w:szCs w:val="18"/>
          <w:color w:val="auto"/>
        </w:rPr>
      </w:pPr>
    </w:p>
    <w:p>
      <w:pPr>
        <w:ind w:left="660" w:right="20" w:hanging="652"/>
        <w:spacing w:after="0" w:line="312" w:lineRule="auto"/>
        <w:tabs>
          <w:tab w:leader="none" w:pos="65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binding upon the Parties hereto and their respective successors and assignees. Without prior written approval of Party A, Party B cannot assign, pledge or otherwise transfer any right, benefit or obligation under this agreement. In the event of Party B’s death or incapacity, the terms of this Agreement shall be binding upon the executors, administrators, heirs and successors of Party B.</w:t>
      </w:r>
    </w:p>
    <w:p>
      <w:pPr>
        <w:spacing w:after="0" w:line="146" w:lineRule="exact"/>
        <w:rPr>
          <w:rFonts w:ascii="Arial" w:cs="Arial" w:eastAsia="Arial" w:hAnsi="Arial"/>
          <w:sz w:val="16"/>
          <w:szCs w:val="16"/>
          <w:color w:val="auto"/>
        </w:rPr>
      </w:pPr>
    </w:p>
    <w:p>
      <w:pPr>
        <w:ind w:left="660" w:hanging="652"/>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agrees that Party A can assign its rights and duties under this Agreement to a third party when it thinks necessary, in which case Party A only needs to give a written notice to Party B and no further consent of Party B is required.</w:t>
      </w:r>
    </w:p>
    <w:p>
      <w:pPr>
        <w:spacing w:after="0" w:line="170" w:lineRule="exact"/>
        <w:rPr>
          <w:sz w:val="20"/>
          <w:szCs w:val="20"/>
          <w:color w:val="auto"/>
        </w:rPr>
      </w:pPr>
    </w:p>
    <w:p>
      <w:pPr>
        <w:ind w:left="660" w:right="140" w:hanging="634"/>
        <w:spacing w:after="0" w:line="277"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execution, validity, interpretation, performance, amendment, termination and resolution of disputes in connection with this Agreement shall be governed by the laws of the PRC.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line="25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rFonts w:ascii="Arial" w:cs="Arial" w:eastAsia="Arial" w:hAnsi="Arial"/>
          <w:sz w:val="18"/>
          <w:szCs w:val="18"/>
          <w:color w:val="auto"/>
        </w:rPr>
      </w:pPr>
    </w:p>
    <w:p>
      <w:pPr>
        <w:ind w:left="660" w:hanging="652"/>
        <w:spacing w:after="0" w:line="264"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This Agreement shall be formed on the date of execution. Both Parties hereto agree that the terms and conditions of this Agreement shall be effective as of the date on which Party B has obtained the Loan and shall expire when both Parties have fully performed their obligations under this Agreement.</w:t>
      </w:r>
    </w:p>
    <w:p>
      <w:pPr>
        <w:spacing w:after="0" w:line="181" w:lineRule="exact"/>
        <w:rPr>
          <w:rFonts w:ascii="Arial" w:cs="Arial" w:eastAsia="Arial" w:hAnsi="Arial"/>
          <w:sz w:val="18"/>
          <w:szCs w:val="18"/>
          <w:color w:val="auto"/>
        </w:rPr>
      </w:pPr>
    </w:p>
    <w:p>
      <w:pPr>
        <w:ind w:left="660" w:right="180" w:hanging="652"/>
        <w:spacing w:after="0" w:line="264"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with a written agreement reached by both Parties. In case of anything not covered herein, both Parties may sign a written supplementary agreement. Any amendment, modification, supplement or annex to this Agreement shall form an integral part of this Agreement.</w:t>
      </w:r>
    </w:p>
    <w:p>
      <w:pPr>
        <w:spacing w:after="0" w:line="181" w:lineRule="exact"/>
        <w:rPr>
          <w:rFonts w:ascii="Arial" w:cs="Arial" w:eastAsia="Arial" w:hAnsi="Arial"/>
          <w:sz w:val="18"/>
          <w:szCs w:val="18"/>
          <w:color w:val="auto"/>
        </w:rPr>
      </w:pPr>
    </w:p>
    <w:p>
      <w:pPr>
        <w:ind w:left="660" w:right="120" w:hanging="652"/>
        <w:spacing w:after="0" w:line="308" w:lineRule="auto"/>
        <w:tabs>
          <w:tab w:leader="none" w:pos="65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This Agreement and any agreement referenced herein constitute the entire agreement of the Parties hereto with respect to the subject matters hereof and supersedes all prior verbal discussions or written agreements between the Parties with respect to subject matters hereof.</w:t>
      </w:r>
    </w:p>
    <w:p>
      <w:pPr>
        <w:spacing w:after="0" w:line="146" w:lineRule="exact"/>
        <w:rPr>
          <w:rFonts w:ascii="Arial" w:cs="Arial" w:eastAsia="Arial" w:hAnsi="Arial"/>
          <w:sz w:val="17"/>
          <w:szCs w:val="17"/>
          <w:color w:val="auto"/>
        </w:rPr>
      </w:pPr>
    </w:p>
    <w:p>
      <w:pPr>
        <w:ind w:left="660" w:right="40" w:hanging="652"/>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This Agreement is severable. If any clause of this Agreement is held to be invalid or unenforceable, such invalidity or unenforceability shall have no effect on the validity or enforceability of the remainder of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660"/>
        <w:spacing w:after="0" w:line="290" w:lineRule="auto"/>
        <w:rPr>
          <w:rFonts w:ascii="Arial" w:cs="Arial" w:eastAsia="Arial" w:hAnsi="Arial"/>
          <w:sz w:val="18"/>
          <w:szCs w:val="18"/>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Party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21. Any disclosure of confidential information by the personnel of any Party or by the institutions engaged by such Party shall be deemed as a disclosure by such Party, and such Party shall be liable for the breach under this Agreement. Both Parties agree that this Article 21 shall survive the invalidity, cancellation, termination or unenforceability of this Agreement.</w:t>
      </w:r>
    </w:p>
    <w:p>
      <w:pPr>
        <w:spacing w:after="0" w:line="166" w:lineRule="exact"/>
        <w:rPr>
          <w:rFonts w:ascii="Arial" w:cs="Arial" w:eastAsia="Arial" w:hAnsi="Arial"/>
          <w:sz w:val="18"/>
          <w:szCs w:val="18"/>
          <w:color w:val="auto"/>
        </w:rPr>
      </w:pPr>
    </w:p>
    <w:p>
      <w:pPr>
        <w:ind w:left="660" w:right="180" w:hanging="652"/>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obligation arising from or becoming due under this Agreement before the expiration or early termination of this Agreement shall survive such expiration or early termination. Articles 15, 16 and 21 of this Agreement shall survive the termination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Agreement shall be executed in two originals, with each Party holding one original. All originals shall have the same legal effect.</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 its legal representative or its duly authorized representative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written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text below on this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00"/>
          </w:cols>
          <w:pgMar w:left="240" w:top="125" w:right="25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w w:val="98"/>
              </w:rPr>
              <w:t>Party A: NetEase (Hangzhou) Network Co., Ltd. (seal)</w:t>
            </w:r>
          </w:p>
        </w:tc>
        <w:tc>
          <w:tcPr>
            <w:tcW w:w="4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Legal Representative/Authorized Representative:</w:t>
            </w:r>
          </w:p>
        </w:tc>
        <w:tc>
          <w:tcPr>
            <w:tcW w:w="4120" w:type="dxa"/>
            <w:vAlign w:val="bottom"/>
            <w:tcBorders>
              <w:bottom w:val="single" w:sz="8" w:color="auto"/>
            </w:tcBorders>
          </w:tcPr>
          <w:p>
            <w:pPr>
              <w:jc w:val="right"/>
              <w:ind w:right="2210"/>
              <w:spacing w:after="0"/>
              <w:rPr>
                <w:sz w:val="20"/>
                <w:szCs w:val="20"/>
                <w:color w:val="auto"/>
              </w:rPr>
            </w:pPr>
            <w:r>
              <w:rPr>
                <w:rFonts w:ascii="Arial" w:cs="Arial" w:eastAsia="Arial" w:hAnsi="Arial"/>
                <w:sz w:val="18"/>
                <w:szCs w:val="18"/>
                <w:color w:val="auto"/>
              </w:rPr>
              <w:t>/s/ William Lei Ding</w:t>
            </w:r>
          </w:p>
        </w:tc>
        <w:tc>
          <w:tcPr>
            <w:tcW w:w="2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628"/>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Party B: Hu Zhipeng</w:t>
            </w:r>
          </w:p>
        </w:tc>
        <w:tc>
          <w:tcPr>
            <w:tcW w:w="4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Hu Zhipeng</w:t>
            </w:r>
          </w:p>
        </w:tc>
        <w:tc>
          <w:tcPr>
            <w:tcW w:w="412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120" w:type="dxa"/>
            <w:vAlign w:val="bottom"/>
          </w:tcPr>
          <w:p>
            <w:pPr>
              <w:jc w:val="right"/>
              <w:ind w:right="2770"/>
              <w:spacing w:after="0"/>
              <w:rPr>
                <w:sz w:val="20"/>
                <w:szCs w:val="20"/>
                <w:color w:val="auto"/>
              </w:rPr>
            </w:pPr>
            <w:r>
              <w:rPr>
                <w:rFonts w:ascii="Arial" w:cs="Arial" w:eastAsia="Arial" w:hAnsi="Arial"/>
                <w:sz w:val="18"/>
                <w:szCs w:val="18"/>
                <w:color w:val="auto"/>
              </w:rPr>
              <w:t>9</w:t>
            </w: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7" w:name="page118"/>
    <w:bookmarkEnd w:id="117"/>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Loan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in Hangzhou as of </w:t>
      </w:r>
      <w:r>
        <w:rPr>
          <w:rFonts w:ascii="Arial" w:cs="Arial" w:eastAsia="Arial" w:hAnsi="Arial"/>
          <w:sz w:val="18"/>
          <w:szCs w:val="18"/>
          <w:b w:val="1"/>
          <w:bCs w:val="1"/>
          <w:color w:val="auto"/>
        </w:rPr>
        <w:t>March 23, 2009</w:t>
      </w:r>
      <w:r>
        <w:rPr>
          <w:rFonts w:ascii="Arial" w:cs="Arial" w:eastAsia="Arial" w:hAnsi="Arial"/>
          <w:sz w:val="18"/>
          <w:szCs w:val="18"/>
          <w:color w:val="auto"/>
        </w:rPr>
        <w:t xml:space="preserve"> by the following parties.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Address: Room 103-105, 1/F, Building 18, No.1 Jiaogong Road, Hangzhou, Zhejiang Province, P. R. China</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b w:val="1"/>
          <w:bCs w:val="1"/>
          <w:color w:val="auto"/>
        </w:rPr>
        <w:t>Chen Gang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ID No.: 330106197310300431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No. 38 Zheda Road, West Lake District, Hangzhou, Zhejiang Province, P. R.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Party A is a wholly-owned foreign enterprise incorporated in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Party B is a citizen of the PRC and owns 50% of the equity interests of Hangzhou Leihuo Network Co.,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incorporated in Hangzhou.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friendly negotiations, the parties hereto agree as follows:</w:t>
      </w:r>
    </w:p>
    <w:p>
      <w:pPr>
        <w:spacing w:after="0" w:line="229" w:lineRule="exact"/>
        <w:rPr>
          <w:sz w:val="20"/>
          <w:szCs w:val="20"/>
          <w:color w:val="auto"/>
        </w:rPr>
      </w:pPr>
    </w:p>
    <w:p>
      <w:pPr>
        <w:ind w:left="660" w:right="20" w:hanging="652"/>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Party A agrees to provide an interest-free loan to Party B with an aggregate principal amount of RMB 5,000,000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in accordance with the terms and conditions set forth in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Party B confirms that he has received the total amount of the Loan and has invested it into the Company as a capital contribution.</w:t>
      </w:r>
    </w:p>
    <w:p>
      <w:pPr>
        <w:spacing w:after="0" w:line="225" w:lineRule="exact"/>
        <w:rPr>
          <w:rFonts w:ascii="Arial" w:cs="Arial" w:eastAsia="Arial" w:hAnsi="Arial"/>
          <w:sz w:val="18"/>
          <w:szCs w:val="18"/>
          <w:color w:val="auto"/>
        </w:rPr>
      </w:pPr>
    </w:p>
    <w:p>
      <w:pPr>
        <w:jc w:val="both"/>
        <w:ind w:left="660" w:right="160" w:hanging="652"/>
        <w:spacing w:after="0" w:line="259"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term of the Loan starts from the date when Party B received the Loan until twenty (20) years after the execution of this Agreement and may be extended upon written agreement of the parties hereto. During the term of the Loan or any extension thereof, Party A may notify Party B in writing that the Loan under this Agreement is due and payable immediately and request Party B to repay the Loan in the manner specified herein, if any of the following events occurs: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Party B resigns from or is dismissed by Party A or its affiliates;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Party B dies or becomes a person without capacity or with limited capacity for civil acts;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Party B commits a crime or is involved in a crime;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other third party claims more than RMB100,000 against Party B;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4"/>
        <w:spacing w:after="0" w:line="279" w:lineRule="auto"/>
        <w:tabs>
          <w:tab w:leader="none" w:pos="131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Subject to PRC laws, Party A or its designated person(s) is permitted to invest in the business of value-added telecommunications services, such as Internet information services, as well as other businesses that the Company is engaged in, and Party A has given a written notice to the Company to exercise its option to purchase equity in the Company (the “</w:t>
      </w:r>
      <w:r>
        <w:rPr>
          <w:rFonts w:ascii="Arial" w:cs="Arial" w:eastAsia="Arial" w:hAnsi="Arial"/>
          <w:sz w:val="17"/>
          <w:szCs w:val="17"/>
          <w:b w:val="1"/>
          <w:bCs w:val="1"/>
          <w:i w:val="1"/>
          <w:iCs w:val="1"/>
          <w:color w:val="auto"/>
        </w:rPr>
        <w:t>Equity Option</w:t>
      </w:r>
      <w:r>
        <w:rPr>
          <w:rFonts w:ascii="Arial" w:cs="Arial" w:eastAsia="Arial" w:hAnsi="Arial"/>
          <w:sz w:val="17"/>
          <w:szCs w:val="17"/>
          <w:color w:val="auto"/>
        </w:rPr>
        <w:t>”) in accordance with an Exclusive Purchase Option Agreement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executed by Party A, Party B and the Company.</w:t>
      </w:r>
    </w:p>
    <w:p>
      <w:pPr>
        <w:spacing w:after="0" w:line="171" w:lineRule="exact"/>
        <w:rPr>
          <w:rFonts w:ascii="Arial" w:cs="Arial" w:eastAsia="Arial" w:hAnsi="Arial"/>
          <w:sz w:val="17"/>
          <w:szCs w:val="17"/>
          <w:color w:val="auto"/>
        </w:rPr>
      </w:pPr>
    </w:p>
    <w:p>
      <w:pPr>
        <w:ind w:left="660" w:right="120" w:hanging="652"/>
        <w:spacing w:after="0" w:line="26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Both Parties hereby agree and confirm that, subject to PRC laws, Party A shall have the right, but not the obligation, to exercise, or designate other persons (including natural persons, legal persons or other entities) to exercise the Equity Option in the manner and at the purchase price specified in the Option Agreement.</w:t>
      </w:r>
    </w:p>
    <w:p>
      <w:pPr>
        <w:spacing w:after="0" w:line="181" w:lineRule="exact"/>
        <w:rPr>
          <w:rFonts w:ascii="Arial" w:cs="Arial" w:eastAsia="Arial" w:hAnsi="Arial"/>
          <w:sz w:val="18"/>
          <w:szCs w:val="18"/>
          <w:color w:val="auto"/>
        </w:rPr>
      </w:pPr>
    </w:p>
    <w:p>
      <w:pPr>
        <w:ind w:left="660" w:right="120" w:hanging="652"/>
        <w:spacing w:after="0" w:line="264"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Both Parties hereby agree and confirm that Party B may repay the Loan only in one of the following repayment methods, and Party B agrees to take all actions (including executing and delivering documents or calling shareholders’ meetings) necessary or advisable to implement either of these methods.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Offset Payment with Equity Option</w:t>
      </w:r>
    </w:p>
    <w:p>
      <w:pPr>
        <w:spacing w:after="0" w:line="225" w:lineRule="exact"/>
        <w:rPr>
          <w:rFonts w:ascii="Arial" w:cs="Arial" w:eastAsia="Arial" w:hAnsi="Arial"/>
          <w:sz w:val="18"/>
          <w:szCs w:val="18"/>
          <w:color w:val="auto"/>
        </w:rPr>
      </w:pPr>
    </w:p>
    <w:p>
      <w:pPr>
        <w:ind w:left="1300" w:right="80"/>
        <w:spacing w:after="0" w:line="255" w:lineRule="auto"/>
        <w:rPr>
          <w:rFonts w:ascii="Arial" w:cs="Arial" w:eastAsia="Arial" w:hAnsi="Arial"/>
          <w:sz w:val="18"/>
          <w:szCs w:val="18"/>
          <w:color w:val="auto"/>
        </w:rPr>
      </w:pPr>
      <w:r>
        <w:rPr>
          <w:rFonts w:ascii="Arial" w:cs="Arial" w:eastAsia="Arial" w:hAnsi="Arial"/>
          <w:sz w:val="18"/>
          <w:szCs w:val="18"/>
          <w:color w:val="auto"/>
        </w:rPr>
        <w:t>Each time Party A exercises the Equity Option, the Purchase Price (as defined in Article 1.3 of the Option Agreement) payable by Party A or its designated person(s) for such Equity Option exercise shall be applied by Party A, as provided for in Article 1.5.1 of the Option Agreement, to offset the outstanding amount of the Loan (with such offset payment applied to the principal, interest and capital utilization costs for the Loan as set forth in Article 6 of this Agreement), provided that the portion of the Purchase Price payable in cash to Party B for any tax obligation incurred by Party B in connection with the Equity Option exercise shall not be applied to offset any amount outstanding under the Loan. The portion of the Purchase Price applied to offset any amount outstanding under the Loan is referred to as an “</w:t>
      </w:r>
      <w:r>
        <w:rPr>
          <w:rFonts w:ascii="Arial" w:cs="Arial" w:eastAsia="Arial" w:hAnsi="Arial"/>
          <w:sz w:val="18"/>
          <w:szCs w:val="18"/>
          <w:b w:val="1"/>
          <w:bCs w:val="1"/>
          <w:i w:val="1"/>
          <w:iCs w:val="1"/>
          <w:color w:val="auto"/>
        </w:rPr>
        <w:t>Offset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Mutual Agreement.</w:t>
      </w:r>
    </w:p>
    <w:p>
      <w:pPr>
        <w:spacing w:after="0" w:line="225" w:lineRule="exact"/>
        <w:rPr>
          <w:sz w:val="20"/>
          <w:szCs w:val="20"/>
          <w:color w:val="auto"/>
        </w:rPr>
      </w:pPr>
    </w:p>
    <w:p>
      <w:pPr>
        <w:jc w:val="both"/>
        <w:ind w:left="1280" w:right="120"/>
        <w:spacing w:after="0" w:line="264" w:lineRule="auto"/>
        <w:rPr>
          <w:sz w:val="20"/>
          <w:szCs w:val="20"/>
          <w:color w:val="auto"/>
        </w:rPr>
      </w:pPr>
      <w:r>
        <w:rPr>
          <w:rFonts w:ascii="Arial" w:cs="Arial" w:eastAsia="Arial" w:hAnsi="Arial"/>
          <w:sz w:val="18"/>
          <w:szCs w:val="18"/>
          <w:color w:val="auto"/>
        </w:rPr>
        <w:t>When Article 5(a) above does not apply, if Party A in its sole discretion decides that the Loan may be repaid by another method, then Party B may pay to Party A the outstanding amount of the Loan (including any interest and capital utilization costs) in cash or other property, as determined by Party A, following any conditions or procedures specified by Party A.</w:t>
      </w:r>
    </w:p>
    <w:p>
      <w:pPr>
        <w:sectPr>
          <w:pgSz w:w="11900" w:h="16850" w:orient="portrait"/>
          <w:cols w:equalWidth="0" w:num="1">
            <w:col w:w="11420"/>
          </w:cols>
          <w:pgMar w:left="240" w:top="121" w:right="239" w:bottom="0" w:gutter="0" w:footer="0" w:header="0"/>
        </w:sectPr>
      </w:pPr>
    </w:p>
    <w:bookmarkStart w:id="118" w:name="page119"/>
    <w:bookmarkEnd w:id="118"/>
    <w:p>
      <w:pPr>
        <w:spacing w:after="0" w:line="90" w:lineRule="exact"/>
        <w:rPr>
          <w:sz w:val="20"/>
          <w:szCs w:val="20"/>
          <w:color w:val="auto"/>
        </w:rPr>
      </w:pPr>
    </w:p>
    <w:p>
      <w:pPr>
        <w:ind w:left="652" w:right="220" w:hanging="652"/>
        <w:spacing w:after="0" w:line="308" w:lineRule="auto"/>
        <w:tabs>
          <w:tab w:leader="none" w:pos="65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Both Parties hereby agree and confirm that the Loan is interest-free, except as otherwise provided for herein. Each time an Offset Payment occurs pursuant to Article 5(a), the Offset Payment shall be applied to the outstanding amount of the Loan in the following manner.</w:t>
      </w:r>
    </w:p>
    <w:p>
      <w:pPr>
        <w:spacing w:after="0" w:line="146" w:lineRule="exact"/>
        <w:rPr>
          <w:rFonts w:ascii="Arial" w:cs="Arial" w:eastAsia="Arial" w:hAnsi="Arial"/>
          <w:sz w:val="17"/>
          <w:szCs w:val="17"/>
          <w:color w:val="auto"/>
        </w:rPr>
      </w:pPr>
    </w:p>
    <w:p>
      <w:pPr>
        <w:ind w:left="1292" w:right="500" w:hanging="644"/>
        <w:spacing w:after="0" w:line="342" w:lineRule="auto"/>
        <w:tabs>
          <w:tab w:leader="none" w:pos="1289"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If all of Party B’s equity interests in the Company are transferred to Party A or its designated person(s) in accordance with the Option Agreement, then at the time such transfer is completed, the Loan shall be deemed to have been repaid in full by the Offset Payment.</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0" w:hanging="644"/>
        <w:spacing w:after="0" w:line="259" w:lineRule="auto"/>
        <w:tabs>
          <w:tab w:leader="none" w:pos="129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Loan is not repaid in full under Article 6(a) because less than all of Party B’s equity interests in the Company were transferred to Party A or its designated person(s), then the Offset Payment shall repay a portion of the principal outstanding on the Loan, with such portion equal to the outstanding Loan principal multiplied by the percentage of Party B’s total equity interests in the Company transferred in the Equity Option exercise.</w:t>
      </w:r>
    </w:p>
    <w:p>
      <w:pPr>
        <w:spacing w:after="0" w:line="186" w:lineRule="exact"/>
        <w:rPr>
          <w:rFonts w:ascii="Arial" w:cs="Arial" w:eastAsia="Arial" w:hAnsi="Arial"/>
          <w:sz w:val="18"/>
          <w:szCs w:val="18"/>
          <w:color w:val="auto"/>
        </w:rPr>
      </w:pPr>
    </w:p>
    <w:p>
      <w:pPr>
        <w:ind w:left="1292" w:right="720" w:hanging="644"/>
        <w:spacing w:after="0" w:line="342" w:lineRule="auto"/>
        <w:tabs>
          <w:tab w:leader="none" w:pos="1302"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If the Offset Payment exceeds the principal deemed fully repaid by Article 6(b), the amount of such excess shall be deemed, to the maximum extent permitted by applicable law, as a repayment to Party A of interest and capital utilization costs for the Loan.</w:t>
      </w:r>
    </w:p>
    <w:p>
      <w:pPr>
        <w:spacing w:after="0" w:line="123" w:lineRule="exact"/>
        <w:rPr>
          <w:rFonts w:ascii="Arial" w:cs="Arial" w:eastAsia="Arial" w:hAnsi="Arial"/>
          <w:sz w:val="16"/>
          <w:szCs w:val="16"/>
          <w:color w:val="auto"/>
        </w:rPr>
      </w:pPr>
    </w:p>
    <w:p>
      <w:pPr>
        <w:ind w:left="652" w:right="20" w:hanging="652"/>
        <w:spacing w:after="0" w:line="277" w:lineRule="auto"/>
        <w:tabs>
          <w:tab w:leader="none" w:pos="6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Both Parties hereby agree and confirm that Party B shall be deemed to have fully performed his obligations under this Agreement, and the Loan shall be deemed to have been fully repaid, if and only if one of the following occurs:</w:t>
      </w:r>
    </w:p>
    <w:p>
      <w:pPr>
        <w:spacing w:after="0" w:line="170" w:lineRule="exact"/>
        <w:rPr>
          <w:rFonts w:ascii="Arial" w:cs="Arial" w:eastAsia="Arial" w:hAnsi="Arial"/>
          <w:sz w:val="18"/>
          <w:szCs w:val="18"/>
          <w:color w:val="auto"/>
        </w:rPr>
      </w:pPr>
    </w:p>
    <w:p>
      <w:pPr>
        <w:ind w:left="1292" w:right="300" w:hanging="644"/>
        <w:spacing w:after="0" w:line="259" w:lineRule="auto"/>
        <w:tabs>
          <w:tab w:leader="none" w:pos="128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pursuant to Articles 5(a) and 6, after one or more exercises of the Equity Option, Party B has transferred all his equity interests in the Company to Party A and/or its designated person(s) and the total proceeds from such transfer(s) or the maximum amount (including principal, interest and capital utilization costs) allowed by applicable law have been applied to the Loan as one or more Offset Payments under Article 5(a); or</w:t>
      </w:r>
    </w:p>
    <w:p>
      <w:pPr>
        <w:spacing w:after="0" w:line="186" w:lineRule="exact"/>
        <w:rPr>
          <w:rFonts w:ascii="Arial" w:cs="Arial" w:eastAsia="Arial" w:hAnsi="Arial"/>
          <w:sz w:val="18"/>
          <w:szCs w:val="18"/>
          <w:color w:val="auto"/>
        </w:rPr>
      </w:pPr>
    </w:p>
    <w:p>
      <w:pPr>
        <w:ind w:left="1292" w:right="100" w:hanging="644"/>
        <w:spacing w:after="0" w:line="277" w:lineRule="auto"/>
        <w:tabs>
          <w:tab w:leader="none" w:pos="129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pursuant to Article 5(b), the Loan is fully repaid in the manner determined by Party A, following any conditions or procedures specified by Party A.</w:t>
      </w:r>
    </w:p>
    <w:p>
      <w:pPr>
        <w:spacing w:after="0" w:line="170" w:lineRule="exact"/>
        <w:rPr>
          <w:rFonts w:ascii="Arial" w:cs="Arial" w:eastAsia="Arial" w:hAnsi="Arial"/>
          <w:sz w:val="18"/>
          <w:szCs w:val="18"/>
          <w:color w:val="auto"/>
        </w:rPr>
      </w:pPr>
    </w:p>
    <w:p>
      <w:pPr>
        <w:ind w:left="652" w:right="180" w:hanging="652"/>
        <w:spacing w:after="0" w:line="342" w:lineRule="auto"/>
        <w:tabs>
          <w:tab w:leader="none" w:pos="6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secure the performance of his obligations under this Agreement, Party B agrees to pledge all his equity interests in the Company to Party A (the “</w:t>
      </w:r>
      <w:r>
        <w:rPr>
          <w:rFonts w:ascii="Arial" w:cs="Arial" w:eastAsia="Arial" w:hAnsi="Arial"/>
          <w:sz w:val="16"/>
          <w:szCs w:val="16"/>
          <w:b w:val="1"/>
          <w:bCs w:val="1"/>
          <w:i w:val="1"/>
          <w:iCs w:val="1"/>
          <w:color w:val="auto"/>
        </w:rPr>
        <w:t>Equity Pledge</w:t>
      </w:r>
      <w:r>
        <w:rPr>
          <w:rFonts w:ascii="Arial" w:cs="Arial" w:eastAsia="Arial" w:hAnsi="Arial"/>
          <w:sz w:val="16"/>
          <w:szCs w:val="16"/>
          <w:color w:val="auto"/>
        </w:rPr>
        <w:t>”). Both Parties agree to execute an Equity Pledge Agreement (the “</w:t>
      </w:r>
      <w:r>
        <w:rPr>
          <w:rFonts w:ascii="Arial" w:cs="Arial" w:eastAsia="Arial" w:hAnsi="Arial"/>
          <w:sz w:val="16"/>
          <w:szCs w:val="16"/>
          <w:b w:val="1"/>
          <w:bCs w:val="1"/>
          <w:i w:val="1"/>
          <w:iCs w:val="1"/>
          <w:color w:val="auto"/>
        </w:rPr>
        <w:t>Equity Pledge Agreement</w:t>
      </w:r>
      <w:r>
        <w:rPr>
          <w:rFonts w:ascii="Arial" w:cs="Arial" w:eastAsia="Arial" w:hAnsi="Arial"/>
          <w:sz w:val="16"/>
          <w:szCs w:val="16"/>
          <w:color w:val="auto"/>
        </w:rPr>
        <w:t>”) in connection with this pledge.</w:t>
      </w:r>
    </w:p>
    <w:p>
      <w:pPr>
        <w:spacing w:after="0" w:line="123" w:lineRule="exact"/>
        <w:rPr>
          <w:rFonts w:ascii="Arial" w:cs="Arial" w:eastAsia="Arial" w:hAnsi="Arial"/>
          <w:sz w:val="16"/>
          <w:szCs w:val="16"/>
          <w:color w:val="auto"/>
        </w:rPr>
      </w:pPr>
    </w:p>
    <w:p>
      <w:pPr>
        <w:ind w:left="652" w:hanging="652"/>
        <w:spacing w:after="0"/>
        <w:tabs>
          <w:tab w:leader="none" w:pos="6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Party A hereby represents and warrants to Party B that, as of the execution date of this Agreement: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and validly existing under the laws of PRC;</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Party A has the right to execute and perform this Agreement. The execution and performance of this Agreement by Party A comply with its business scope, articles of association and other organizational documents. Party A has obtained all necessary and appropriate approvals and authorizations for the execution and performance of this Agreement;</w:t>
      </w:r>
    </w:p>
    <w:p>
      <w:pPr>
        <w:spacing w:after="0" w:line="181" w:lineRule="exact"/>
        <w:rPr>
          <w:rFonts w:ascii="Arial" w:cs="Arial" w:eastAsia="Arial" w:hAnsi="Arial"/>
          <w:sz w:val="18"/>
          <w:szCs w:val="18"/>
          <w:color w:val="auto"/>
        </w:rPr>
      </w:pPr>
    </w:p>
    <w:p>
      <w:pPr>
        <w:ind w:left="1312" w:hanging="664"/>
        <w:spacing w:after="0"/>
        <w:tabs>
          <w:tab w:leader="none" w:pos="131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principal of the Loan to Party B is legally owned by Party A;</w:t>
      </w:r>
    </w:p>
    <w:p>
      <w:pPr>
        <w:spacing w:after="0" w:line="225" w:lineRule="exact"/>
        <w:rPr>
          <w:rFonts w:ascii="Arial" w:cs="Arial" w:eastAsia="Arial" w:hAnsi="Arial"/>
          <w:sz w:val="18"/>
          <w:szCs w:val="18"/>
          <w:color w:val="auto"/>
        </w:rPr>
      </w:pPr>
    </w:p>
    <w:p>
      <w:pPr>
        <w:jc w:val="both"/>
        <w:ind w:left="1292" w:right="100" w:hanging="644"/>
        <w:spacing w:after="0" w:line="264" w:lineRule="auto"/>
        <w:tabs>
          <w:tab w:leader="none" w:pos="129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execution and performance of this Agreement by Party A do not violate any laws, regulations, approvals, authorizations, notices, other governmental documents to which Party A is subject, any agreement signed by it with any third party or any undertaking made by it to any third party; and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12" w:hanging="664"/>
        <w:spacing w:after="0"/>
        <w:tabs>
          <w:tab w:leader="none" w:pos="131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When executed by the Parties hereto, this Agreement shall constitute the legal, valid and binding obligations of Party A.</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Party B hereby represents and warrants to Party A that, from the execution date of this Agreement until this Agreement terminates:</w:t>
      </w:r>
    </w:p>
    <w:p>
      <w:pPr>
        <w:spacing w:after="0" w:line="225" w:lineRule="exact"/>
        <w:rPr>
          <w:rFonts w:ascii="Arial" w:cs="Arial" w:eastAsia="Arial" w:hAnsi="Arial"/>
          <w:sz w:val="18"/>
          <w:szCs w:val="18"/>
          <w:color w:val="auto"/>
        </w:rPr>
      </w:pPr>
    </w:p>
    <w:p>
      <w:pPr>
        <w:ind w:left="1292" w:right="300" w:hanging="644"/>
        <w:spacing w:after="0" w:line="277" w:lineRule="auto"/>
        <w:tabs>
          <w:tab w:leader="none" w:pos="128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Company is a limited liability company incorporated and validly existing under the laws of PRC and Party B is a legal holder of the equity interest of the Company;</w:t>
      </w:r>
    </w:p>
    <w:p>
      <w:pPr>
        <w:spacing w:after="0" w:line="170" w:lineRule="exact"/>
        <w:rPr>
          <w:rFonts w:ascii="Arial" w:cs="Arial" w:eastAsia="Arial" w:hAnsi="Arial"/>
          <w:sz w:val="18"/>
          <w:szCs w:val="18"/>
          <w:color w:val="auto"/>
        </w:rPr>
      </w:pPr>
    </w:p>
    <w:p>
      <w:pPr>
        <w:jc w:val="both"/>
        <w:ind w:left="1292" w:right="20" w:hanging="644"/>
        <w:spacing w:after="0" w:line="264" w:lineRule="auto"/>
        <w:tabs>
          <w:tab w:leader="none" w:pos="129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Party B has the right to execute and perform this Agreement. The execution and performance of this Agreement by Party B comply with its business scope, articles of association and other organizational documents. Party B has obtained all necessary and appropriate approvals and authorizations for the execution and performance of this Agreement;</w:t>
      </w:r>
    </w:p>
    <w:p>
      <w:pPr>
        <w:spacing w:after="0" w:line="181" w:lineRule="exact"/>
        <w:rPr>
          <w:rFonts w:ascii="Arial" w:cs="Arial" w:eastAsia="Arial" w:hAnsi="Arial"/>
          <w:sz w:val="18"/>
          <w:szCs w:val="18"/>
          <w:color w:val="auto"/>
        </w:rPr>
      </w:pPr>
    </w:p>
    <w:p>
      <w:pPr>
        <w:ind w:left="1292" w:right="120" w:hanging="644"/>
        <w:spacing w:after="0" w:line="264" w:lineRule="auto"/>
        <w:tabs>
          <w:tab w:leader="none" w:pos="130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execution and the performance of this Agreement by Party B do not violate any laws, regulations, approvals, authorizations, notices, other governmental documents to which Party B is subject, any agreement signed by Party B with any third party or any undertaking made by Party B to any third party;</w:t>
      </w:r>
    </w:p>
    <w:p>
      <w:pPr>
        <w:spacing w:after="0" w:line="181" w:lineRule="exact"/>
        <w:rPr>
          <w:rFonts w:ascii="Arial" w:cs="Arial" w:eastAsia="Arial" w:hAnsi="Arial"/>
          <w:sz w:val="18"/>
          <w:szCs w:val="18"/>
          <w:color w:val="auto"/>
        </w:rPr>
      </w:pPr>
    </w:p>
    <w:p>
      <w:pPr>
        <w:ind w:left="1312" w:hanging="664"/>
        <w:spacing w:after="0"/>
        <w:tabs>
          <w:tab w:leader="none" w:pos="131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When executed by the Parties hereto, this Agreement shall constitute the legal, valid and binding obligations of Party B;</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Party B has paid contribution in full for its equity interests in the Company in accordance with applicable laws and regulations;</w:t>
      </w:r>
    </w:p>
    <w:p>
      <w:pPr>
        <w:spacing w:after="0" w:line="225" w:lineRule="exact"/>
        <w:rPr>
          <w:rFonts w:ascii="Arial" w:cs="Arial" w:eastAsia="Arial" w:hAnsi="Arial"/>
          <w:sz w:val="18"/>
          <w:szCs w:val="18"/>
          <w:color w:val="auto"/>
        </w:rPr>
      </w:pPr>
    </w:p>
    <w:p>
      <w:pPr>
        <w:jc w:val="both"/>
        <w:ind w:left="1292" w:right="140" w:hanging="644"/>
        <w:spacing w:after="0" w:line="264" w:lineRule="auto"/>
        <w:tabs>
          <w:tab w:leader="none" w:pos="129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Except pursuant to the Equity Pledge Agreement and Option Agreement, Party B has not pledged or created any other security interest on, made any offer to any third party to transfer, accepted the offer of any third party to purchase, or execute agreement with any third party to transfer, Party B’s equity interests in the Company;</w:t>
      </w:r>
    </w:p>
    <w:p>
      <w:pPr>
        <w:spacing w:after="0" w:line="181" w:lineRule="exact"/>
        <w:rPr>
          <w:rFonts w:ascii="Arial" w:cs="Arial" w:eastAsia="Arial" w:hAnsi="Arial"/>
          <w:sz w:val="18"/>
          <w:szCs w:val="18"/>
          <w:color w:val="auto"/>
        </w:rPr>
      </w:pPr>
    </w:p>
    <w:p>
      <w:pPr>
        <w:ind w:left="1292" w:right="660" w:hanging="644"/>
        <w:spacing w:after="0" w:line="277" w:lineRule="auto"/>
        <w:tabs>
          <w:tab w:leader="none" w:pos="131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There are no pending or threatened disputes, litigation, arbitration or other administrative proceedings or other legal proceedings in connection with the equity interests of the Company held by Party B; and</w:t>
      </w:r>
    </w:p>
    <w:p>
      <w:pPr>
        <w:sectPr>
          <w:pgSz w:w="11900" w:h="16929" w:orient="portrait"/>
          <w:cols w:equalWidth="0" w:num="1">
            <w:col w:w="11412"/>
          </w:cols>
          <w:pgMar w:left="248" w:top="341" w:right="239" w:bottom="0" w:gutter="0" w:footer="0" w:header="0"/>
        </w:sectPr>
      </w:pPr>
    </w:p>
    <w:bookmarkStart w:id="119" w:name="page120"/>
    <w:bookmarkEnd w:id="119"/>
    <w:p>
      <w:pPr>
        <w:ind w:left="1320" w:hanging="664"/>
        <w:spacing w:after="0"/>
        <w:tabs>
          <w:tab w:leader="none" w:pos="13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Company has completed all necessary governmental approval, license, registration and filing.</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Party B covenants that it shall, during the term of this Agreement:</w:t>
      </w:r>
    </w:p>
    <w:p>
      <w:pPr>
        <w:spacing w:after="0" w:line="225" w:lineRule="exact"/>
        <w:rPr>
          <w:rFonts w:ascii="Arial" w:cs="Arial" w:eastAsia="Arial" w:hAnsi="Arial"/>
          <w:sz w:val="18"/>
          <w:szCs w:val="18"/>
          <w:color w:val="auto"/>
        </w:rPr>
      </w:pPr>
    </w:p>
    <w:p>
      <w:pPr>
        <w:ind w:left="1300" w:right="220" w:hanging="644"/>
        <w:spacing w:after="0" w:line="264" w:lineRule="auto"/>
        <w:tabs>
          <w:tab w:leader="none" w:pos="129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Not sell, transfer, pledge or dispose in any other manner of his equity or other interests in the Company, or allow the creation of other security interests thereon, without Party A’s prior written consent, except for equity pledges or other rights created for the benefit of Party A;</w:t>
      </w:r>
    </w:p>
    <w:p>
      <w:pPr>
        <w:spacing w:after="0" w:line="181" w:lineRule="exact"/>
        <w:rPr>
          <w:rFonts w:ascii="Arial" w:cs="Arial" w:eastAsia="Arial" w:hAnsi="Arial"/>
          <w:sz w:val="18"/>
          <w:szCs w:val="18"/>
          <w:color w:val="auto"/>
        </w:rPr>
      </w:pPr>
    </w:p>
    <w:p>
      <w:pPr>
        <w:ind w:left="1300" w:right="600" w:hanging="644"/>
        <w:spacing w:after="0" w:line="312" w:lineRule="auto"/>
        <w:tabs>
          <w:tab w:leader="none" w:pos="1307" w:val="left"/>
        </w:tabs>
        <w:numPr>
          <w:ilvl w:val="1"/>
          <w:numId w:val="210"/>
        </w:numPr>
        <w:rPr>
          <w:rFonts w:ascii="Arial" w:cs="Arial" w:eastAsia="Arial" w:hAnsi="Arial"/>
          <w:sz w:val="16"/>
          <w:szCs w:val="16"/>
          <w:color w:val="auto"/>
        </w:rPr>
      </w:pPr>
      <w:r>
        <w:rPr>
          <w:rFonts w:ascii="Arial" w:cs="Arial" w:eastAsia="Arial" w:hAnsi="Arial"/>
          <w:sz w:val="16"/>
          <w:szCs w:val="16"/>
          <w:color w:val="auto"/>
        </w:rPr>
        <w:t>Not vote at any shareholders’ meeting of the Company or execute any shareholders’ resolutions approving the sale, transfer, pledge, disposition in any other manner, or the creation of any other security interest on, any legal or beneficial interest in the equity of the Company without Party A’s prior written consent, except to or for the benefit of Party A or its designated person(s);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60" w:hanging="644"/>
        <w:spacing w:after="0" w:line="277" w:lineRule="auto"/>
        <w:tabs>
          <w:tab w:leader="none" w:pos="131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Not vote at any shareholders’ meeting of the Company or execute any shareholders’ resolutions approving the Company to merge or combine with, acquire or invest in any person without Party A’s prior written consent;</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Promptly inform Party A of any pending or threatened litigation, arbitration or regulatory proceeding concerning the equity interests of the Company;</w:t>
      </w:r>
    </w:p>
    <w:p>
      <w:pPr>
        <w:spacing w:after="0" w:line="170" w:lineRule="exact"/>
        <w:rPr>
          <w:rFonts w:ascii="Arial" w:cs="Arial" w:eastAsia="Arial" w:hAnsi="Arial"/>
          <w:sz w:val="18"/>
          <w:szCs w:val="18"/>
          <w:color w:val="auto"/>
        </w:rPr>
      </w:pPr>
    </w:p>
    <w:p>
      <w:pPr>
        <w:ind w:left="1300" w:right="360" w:hanging="644"/>
        <w:spacing w:after="0" w:line="342" w:lineRule="auto"/>
        <w:tabs>
          <w:tab w:leader="none" w:pos="131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Execute all necessary or appropriate documents, take all necessary or appropriate actions, bring all necessary or appropriate lawsuits or assert all necessary and appropriate defenses against all claims in order to maintain his equity interests of the Company;</w:t>
      </w:r>
    </w:p>
    <w:p>
      <w:pPr>
        <w:spacing w:after="0" w:line="123" w:lineRule="exact"/>
        <w:rPr>
          <w:rFonts w:ascii="Arial" w:cs="Arial" w:eastAsia="Arial" w:hAnsi="Arial"/>
          <w:sz w:val="16"/>
          <w:szCs w:val="16"/>
          <w:color w:val="auto"/>
        </w:rPr>
      </w:pPr>
    </w:p>
    <w:p>
      <w:pPr>
        <w:ind w:left="1300" w:hanging="644"/>
        <w:spacing w:after="0" w:line="277" w:lineRule="auto"/>
        <w:tabs>
          <w:tab w:leader="none" w:pos="130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Not commit any act or omission that may materially affect the assets, business and liabilities of the Company without Party A’s prior written consent;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Appoint any person nominated by Party A to be the director of the Company;</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Upon Party A’s exercise of the Equity Option, promptly take any actions (including signing and delivering documents) necessary or advisable to effect such exercise of the Equity Option;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Not request the Company to distribute dividends or profits;</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Once he has transferred his equity interests in the Company to Party A or its designated person(s), promptly repay, subject to applicable laws, the proceeds received for such transfer in full, as the Loan principal and Loan interests or capital utilization costs allowed by laws, to Party A; and</w:t>
      </w:r>
    </w:p>
    <w:p>
      <w:pPr>
        <w:spacing w:after="0" w:line="181" w:lineRule="exact"/>
        <w:rPr>
          <w:rFonts w:ascii="Arial" w:cs="Arial" w:eastAsia="Arial" w:hAnsi="Arial"/>
          <w:sz w:val="18"/>
          <w:szCs w:val="18"/>
          <w:color w:val="auto"/>
        </w:rPr>
      </w:pPr>
    </w:p>
    <w:p>
      <w:pPr>
        <w:ind w:left="1300" w:right="560" w:hanging="644"/>
        <w:spacing w:after="0" w:line="277" w:lineRule="auto"/>
        <w:tabs>
          <w:tab w:leader="none" w:pos="130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Comply strictly with the terms of this Agreement, and perform the obligations pursuant to this Agreement and not commit any act or omission that would affect the validity and enforceability of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Party B, as the shareholder of the Company, covenants that he shall cause the Company, during the term of this Agreement:</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29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Not to supplement, amend or modify its articles of association, or to increase or decrease its registered capital, or to change its capital structure in any way without Party A’s prior written consent;</w:t>
      </w:r>
    </w:p>
    <w:p>
      <w:pPr>
        <w:spacing w:after="0" w:line="170" w:lineRule="exact"/>
        <w:rPr>
          <w:rFonts w:ascii="Arial" w:cs="Arial" w:eastAsia="Arial" w:hAnsi="Arial"/>
          <w:sz w:val="18"/>
          <w:szCs w:val="18"/>
          <w:color w:val="auto"/>
        </w:rPr>
      </w:pPr>
    </w:p>
    <w:p>
      <w:pPr>
        <w:ind w:left="1300" w:right="580" w:hanging="644"/>
        <w:spacing w:after="0" w:line="277" w:lineRule="auto"/>
        <w:tabs>
          <w:tab w:leader="none" w:pos="130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To maintain and operate its business and deal with matters prudently and effectively, in accordance with good financial and business rules and practices;</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1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Not to sell, transfer, mortgage, dispose of in any other manner, or to create other security interest on, any of its assets, business or legal or beneficial right to its revenues without Party A’s prior written consent;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7" w:val="left"/>
        </w:tabs>
        <w:numPr>
          <w:ilvl w:val="1"/>
          <w:numId w:val="212"/>
        </w:numPr>
        <w:rPr>
          <w:rFonts w:ascii="Arial" w:cs="Arial" w:eastAsia="Arial" w:hAnsi="Arial"/>
          <w:sz w:val="16"/>
          <w:szCs w:val="16"/>
          <w:color w:val="auto"/>
        </w:rPr>
      </w:pPr>
      <w:r>
        <w:rPr>
          <w:rFonts w:ascii="Arial" w:cs="Arial" w:eastAsia="Arial" w:hAnsi="Arial"/>
          <w:sz w:val="16"/>
          <w:szCs w:val="16"/>
          <w:color w:val="auto"/>
        </w:rPr>
        <w:t>Not to create, succeed to, guarantee or permit any liability, without the Party A’s prior written consent, except (i) the liability arising from the ordinary course of business, but not arising through Party B; and (ii) the liability reported to and approved by Party A in writing;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operate all the business of the Company so as to maintain the value of its assets;</w:t>
      </w:r>
    </w:p>
    <w:p>
      <w:pPr>
        <w:spacing w:after="0" w:line="225" w:lineRule="exact"/>
        <w:rPr>
          <w:rFonts w:ascii="Arial" w:cs="Arial" w:eastAsia="Arial" w:hAnsi="Arial"/>
          <w:sz w:val="18"/>
          <w:szCs w:val="18"/>
          <w:color w:val="auto"/>
        </w:rPr>
      </w:pPr>
    </w:p>
    <w:p>
      <w:pPr>
        <w:ind w:left="1300" w:right="580" w:hanging="644"/>
        <w:spacing w:after="0" w:line="342" w:lineRule="auto"/>
        <w:tabs>
          <w:tab w:leader="none" w:pos="130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Not to execute any material contracts (for the purpose of this paragraph, a contract will be deemed material if the value of it exceeds RMB100,000), without Party A’s prior written consent, other than those executed during the ordinary course of business;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provide information concerning all of its operation and financial affairs upon Party A’s request;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 to merge or combine with, acquire or invest in, any other person without Party A’s prior written consent;</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2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 to issue dividends to shareholders in any form without Party A’s prior written consent. However, the Company shall promptly distribute all its distributable profits to each of its shareholders upon Party A’s request;</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inform promptly Party A of any pending or threatened suit, arbitration or regulatory proceeding concerning the assets, business or revenue of the Company;</w:t>
      </w:r>
    </w:p>
    <w:p>
      <w:pPr>
        <w:sectPr>
          <w:pgSz w:w="11900" w:h="16838" w:orient="portrait"/>
          <w:cols w:equalWidth="0" w:num="1">
            <w:col w:w="11420"/>
          </w:cols>
          <w:pgMar w:left="240" w:top="341" w:right="239" w:bottom="0" w:gutter="0" w:footer="0" w:header="0"/>
        </w:sectPr>
      </w:pPr>
    </w:p>
    <w:bookmarkStart w:id="120" w:name="page121"/>
    <w:bookmarkEnd w:id="120"/>
    <w:p>
      <w:pPr>
        <w:ind w:left="1300" w:right="140" w:hanging="644"/>
        <w:spacing w:after="0" w:line="308" w:lineRule="auto"/>
        <w:tabs>
          <w:tab w:leader="none" w:pos="130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execute all necessary or appropriate documents, take all necessary or appropriate actions, bring all necessary or appropriate lawsuits or assert all necessary and appropriate defenses against all claims in order to maintain the ownership of all its assets;</w:t>
      </w:r>
    </w:p>
    <w:p>
      <w:pPr>
        <w:spacing w:after="0" w:line="146" w:lineRule="exact"/>
        <w:rPr>
          <w:rFonts w:ascii="Arial" w:cs="Arial" w:eastAsia="Arial" w:hAnsi="Arial"/>
          <w:sz w:val="17"/>
          <w:szCs w:val="17"/>
          <w:color w:val="auto"/>
        </w:rPr>
      </w:pPr>
    </w:p>
    <w:p>
      <w:pPr>
        <w:ind w:left="1300" w:right="420" w:hanging="644"/>
        <w:spacing w:after="0" w:line="264" w:lineRule="auto"/>
        <w:tabs>
          <w:tab w:leader="none" w:pos="132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comply strictly with the terms of the Cooperation Agreement and other agreements between Party A and the Company, perform its obligations under aforesaid agreements, and not commit any act or omission that would affect the validity and enforceability of such agreements;</w:t>
      </w:r>
    </w:p>
    <w:p>
      <w:pPr>
        <w:spacing w:after="0" w:line="181" w:lineRule="exact"/>
        <w:rPr>
          <w:rFonts w:ascii="Arial" w:cs="Arial" w:eastAsia="Arial" w:hAnsi="Arial"/>
          <w:sz w:val="18"/>
          <w:szCs w:val="18"/>
          <w:color w:val="auto"/>
        </w:rPr>
      </w:pPr>
    </w:p>
    <w:p>
      <w:pPr>
        <w:ind w:left="1300" w:right="140" w:hanging="644"/>
        <w:spacing w:after="0" w:line="277" w:lineRule="auto"/>
        <w:tabs>
          <w:tab w:leader="none" w:pos="130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promptly take any actions (including signing and delivering documents) necessary or advisable to effect any exercise by Party A of the Equity Option.</w:t>
      </w:r>
    </w:p>
    <w:p>
      <w:pPr>
        <w:spacing w:after="0" w:line="170" w:lineRule="exact"/>
        <w:rPr>
          <w:rFonts w:ascii="Arial" w:cs="Arial" w:eastAsia="Arial" w:hAnsi="Arial"/>
          <w:sz w:val="18"/>
          <w:szCs w:val="18"/>
          <w:color w:val="auto"/>
        </w:rPr>
      </w:pPr>
    </w:p>
    <w:p>
      <w:pPr>
        <w:ind w:left="660" w:right="20" w:hanging="652"/>
        <w:spacing w:after="0" w:line="312" w:lineRule="auto"/>
        <w:tabs>
          <w:tab w:leader="none" w:pos="65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binding upon the Parties hereto and their respective successors and assignees. Without prior written approval of Party A, Party B cannot assign, pledge or otherwise transfer any right, benefit or obligation under this agreement. In the event of Party B’s death or incapacity, the terms of this Agreement shall be binding upon the executors, administrators, heirs and successors of Party B.</w:t>
      </w:r>
    </w:p>
    <w:p>
      <w:pPr>
        <w:spacing w:after="0" w:line="146" w:lineRule="exact"/>
        <w:rPr>
          <w:rFonts w:ascii="Arial" w:cs="Arial" w:eastAsia="Arial" w:hAnsi="Arial"/>
          <w:sz w:val="16"/>
          <w:szCs w:val="16"/>
          <w:color w:val="auto"/>
        </w:rPr>
      </w:pPr>
    </w:p>
    <w:p>
      <w:pPr>
        <w:ind w:left="660" w:hanging="652"/>
        <w:spacing w:after="0" w:line="277" w:lineRule="auto"/>
        <w:tabs>
          <w:tab w:leader="none" w:pos="6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Party B agrees that Party A can assign its rights and duties under this Agreement to a third party when it thinks necessary, in which case Party A only needs to give a written notice to Party B and no further consent of Party B is required.</w:t>
      </w:r>
    </w:p>
    <w:p>
      <w:pPr>
        <w:spacing w:after="0" w:line="170" w:lineRule="exact"/>
        <w:rPr>
          <w:sz w:val="20"/>
          <w:szCs w:val="20"/>
          <w:color w:val="auto"/>
        </w:rPr>
      </w:pPr>
    </w:p>
    <w:p>
      <w:pPr>
        <w:ind w:left="660" w:right="140" w:hanging="634"/>
        <w:spacing w:after="0" w:line="277"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execution, validity, interpretation, performance, amendment, termination and resolution of disputes in connection with this Agreement shall be governed by the laws of the PRC.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line="257"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rFonts w:ascii="Arial" w:cs="Arial" w:eastAsia="Arial" w:hAnsi="Arial"/>
          <w:sz w:val="18"/>
          <w:szCs w:val="18"/>
          <w:color w:val="auto"/>
        </w:rPr>
      </w:pPr>
    </w:p>
    <w:p>
      <w:pPr>
        <w:ind w:left="660" w:hanging="652"/>
        <w:spacing w:after="0" w:line="264"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Agreement shall be formed on the date of execution. Both Parties hereto agree that the terms and conditions of this Agreement shall be effective as of the date on which Party B has obtained the Loan and shall expire when both Parties have fully performed their obligations under this Agreement.</w:t>
      </w:r>
    </w:p>
    <w:p>
      <w:pPr>
        <w:spacing w:after="0" w:line="181" w:lineRule="exact"/>
        <w:rPr>
          <w:rFonts w:ascii="Arial" w:cs="Arial" w:eastAsia="Arial" w:hAnsi="Arial"/>
          <w:sz w:val="18"/>
          <w:szCs w:val="18"/>
          <w:color w:val="auto"/>
        </w:rPr>
      </w:pPr>
    </w:p>
    <w:p>
      <w:pPr>
        <w:ind w:left="660" w:right="180" w:hanging="652"/>
        <w:spacing w:after="0" w:line="264"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with a written agreement reached by both Parties. In case of anything not covered herein, both Parties may sign a written supplementary agreement. Any amendment, modification, supplement or annex to this Agreement shall form an integral part of this Agreement.</w:t>
      </w:r>
    </w:p>
    <w:p>
      <w:pPr>
        <w:spacing w:after="0" w:line="181" w:lineRule="exact"/>
        <w:rPr>
          <w:rFonts w:ascii="Arial" w:cs="Arial" w:eastAsia="Arial" w:hAnsi="Arial"/>
          <w:sz w:val="18"/>
          <w:szCs w:val="18"/>
          <w:color w:val="auto"/>
        </w:rPr>
      </w:pPr>
    </w:p>
    <w:p>
      <w:pPr>
        <w:ind w:left="660" w:right="120" w:hanging="652"/>
        <w:spacing w:after="0" w:line="308" w:lineRule="auto"/>
        <w:tabs>
          <w:tab w:leader="none" w:pos="65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This Agreement and any agreement referenced herein constitute the entire agreement of the Parties hereto with respect to the subject matters hereof and supersedes all prior verbal discussions or written agreements between the Parties with respect to subject matters hereof.</w:t>
      </w:r>
    </w:p>
    <w:p>
      <w:pPr>
        <w:spacing w:after="0" w:line="146" w:lineRule="exact"/>
        <w:rPr>
          <w:rFonts w:ascii="Arial" w:cs="Arial" w:eastAsia="Arial" w:hAnsi="Arial"/>
          <w:sz w:val="17"/>
          <w:szCs w:val="17"/>
          <w:color w:val="auto"/>
        </w:rPr>
      </w:pPr>
    </w:p>
    <w:p>
      <w:pPr>
        <w:ind w:left="660" w:right="40" w:hanging="652"/>
        <w:spacing w:after="0" w:line="277"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Agreement is severable. If any clause of this Agreement is held to be invalid or unenforceable, such invalidity or unenforceability shall have no effect on the validity or enforceability of the remainder of this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660"/>
        <w:spacing w:after="0" w:line="290" w:lineRule="auto"/>
        <w:rPr>
          <w:rFonts w:ascii="Arial" w:cs="Arial" w:eastAsia="Arial" w:hAnsi="Arial"/>
          <w:sz w:val="18"/>
          <w:szCs w:val="18"/>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Party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21. Any disclosure of confidential information by the personnel of any Party or by the institutions engaged by such Party shall be deemed as a disclosure by such Party, and such Party shall be liable for the breach under this Agreement. Both Parties agree that this Article 21 shall survive the invalidity, cancellation, termination or unenforceability of this Agreement.</w:t>
      </w:r>
    </w:p>
    <w:p>
      <w:pPr>
        <w:spacing w:after="0" w:line="166" w:lineRule="exact"/>
        <w:rPr>
          <w:rFonts w:ascii="Arial" w:cs="Arial" w:eastAsia="Arial" w:hAnsi="Arial"/>
          <w:sz w:val="18"/>
          <w:szCs w:val="18"/>
          <w:color w:val="auto"/>
        </w:rPr>
      </w:pPr>
    </w:p>
    <w:p>
      <w:pPr>
        <w:ind w:left="660" w:right="180" w:hanging="652"/>
        <w:spacing w:after="0" w:line="277"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obligation arising from or becoming due under this Agreement before the expiration or early termination of this Agreement shall survive such expiration or early termination. Articles 15, 16 and 21 of this Agreement shall survive the termination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This Agreement shall be executed in two originals, with each Party holding one original. All originals shall have the same legal effect.</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 its legal representative or its duly authorized representative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written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text below on this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00"/>
          </w:cols>
          <w:pgMar w:left="240" w:top="125" w:right="25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w w:val="97"/>
              </w:rPr>
              <w:t>Party A: NetEase (Hangzhou) Network Co., Ltd. (seal)</w:t>
            </w:r>
          </w:p>
        </w:tc>
        <w:tc>
          <w:tcPr>
            <w:tcW w:w="1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Legal Representative/Authorized Representative:</w:t>
            </w:r>
          </w:p>
        </w:tc>
        <w:tc>
          <w:tcPr>
            <w:tcW w:w="3920" w:type="dxa"/>
            <w:vAlign w:val="bottom"/>
            <w:tcBorders>
              <w:bottom w:val="single" w:sz="8" w:color="auto"/>
            </w:tcBorders>
            <w:gridSpan w:val="2"/>
          </w:tcPr>
          <w:p>
            <w:pPr>
              <w:jc w:val="right"/>
              <w:ind w:right="2080"/>
              <w:spacing w:after="0"/>
              <w:rPr>
                <w:sz w:val="20"/>
                <w:szCs w:val="20"/>
                <w:color w:val="auto"/>
              </w:rPr>
            </w:pPr>
            <w:r>
              <w:rPr>
                <w:rFonts w:ascii="Arial" w:cs="Arial" w:eastAsia="Arial" w:hAnsi="Arial"/>
                <w:sz w:val="18"/>
                <w:szCs w:val="18"/>
                <w:color w:val="auto"/>
              </w:rPr>
              <w:t>/s/ William Lei Ding</w:t>
            </w:r>
          </w:p>
        </w:tc>
        <w:tc>
          <w:tcPr>
            <w:tcW w:w="3080" w:type="dxa"/>
            <w:vAlign w:val="bottom"/>
          </w:tcPr>
          <w:p>
            <w:pPr>
              <w:spacing w:after="0"/>
              <w:rPr>
                <w:sz w:val="24"/>
                <w:szCs w:val="24"/>
                <w:color w:val="auto"/>
              </w:rPr>
            </w:pPr>
          </w:p>
        </w:tc>
      </w:tr>
      <w:tr>
        <w:trPr>
          <w:trHeight w:val="64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Party B: Chen Gang</w:t>
            </w: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Chen Gang</w:t>
            </w:r>
          </w:p>
        </w:tc>
        <w:tc>
          <w:tcPr>
            <w:tcW w:w="126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26"/>
        </w:trPr>
        <w:tc>
          <w:tcPr>
            <w:tcW w:w="1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20" w:type="dxa"/>
            <w:vAlign w:val="bottom"/>
            <w:gridSpan w:val="2"/>
          </w:tcPr>
          <w:p>
            <w:pPr>
              <w:jc w:val="right"/>
              <w:ind w:right="2620"/>
              <w:spacing w:after="0"/>
              <w:rPr>
                <w:sz w:val="20"/>
                <w:szCs w:val="20"/>
                <w:color w:val="auto"/>
              </w:rPr>
            </w:pPr>
            <w:r>
              <w:rPr>
                <w:rFonts w:ascii="Arial" w:cs="Arial" w:eastAsia="Arial" w:hAnsi="Arial"/>
                <w:sz w:val="18"/>
                <w:szCs w:val="18"/>
                <w:color w:val="auto"/>
              </w:rPr>
              <w:t>9</w:t>
            </w:r>
          </w:p>
        </w:tc>
        <w:tc>
          <w:tcPr>
            <w:tcW w:w="308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Equity Pledge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in Hangzhou on </w:t>
      </w:r>
      <w:r>
        <w:rPr>
          <w:rFonts w:ascii="Arial" w:cs="Arial" w:eastAsia="Arial" w:hAnsi="Arial"/>
          <w:sz w:val="18"/>
          <w:szCs w:val="18"/>
          <w:b w:val="1"/>
          <w:bCs w:val="1"/>
          <w:color w:val="auto"/>
        </w:rPr>
        <w:t>April 15, 2009</w:t>
      </w:r>
      <w:r>
        <w:rPr>
          <w:rFonts w:ascii="Arial" w:cs="Arial" w:eastAsia="Arial" w:hAnsi="Arial"/>
          <w:sz w:val="18"/>
          <w:szCs w:val="18"/>
          <w:color w:val="auto"/>
        </w:rPr>
        <w:t xml:space="preserve"> by the following parties:</w:t>
      </w:r>
    </w:p>
    <w:p>
      <w:pPr>
        <w:sectPr>
          <w:pgSz w:w="11900" w:h="16838" w:orient="portrait"/>
          <w:cols w:equalWidth="0" w:num="1">
            <w:col w:w="11420"/>
          </w:cols>
          <w:pgMar w:left="240" w:top="121" w:right="239" w:bottom="63"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Pledgee: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NetEase (Hangzhou) Network Co., Ltd.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Legal Address: Room 103-105, 1/F, Building 18, No.1 Jiaogong Road. Hangzhou, Zhejiang Province, P. R. China</w:t>
      </w:r>
    </w:p>
    <w:p>
      <w:pPr>
        <w:spacing w:after="0" w:line="200" w:lineRule="exact"/>
        <w:rPr>
          <w:sz w:val="20"/>
          <w:szCs w:val="20"/>
          <w:color w:val="auto"/>
        </w:rPr>
      </w:pPr>
    </w:p>
    <w:p>
      <w:pPr>
        <w:sectPr>
          <w:pgSz w:w="11900" w:h="16838" w:orient="portrait"/>
          <w:cols w:equalWidth="0" w:num="2">
            <w:col w:w="680" w:space="620"/>
            <w:col w:w="10120"/>
          </w:cols>
          <w:pgMar w:left="240" w:top="121" w:right="239" w:bottom="63"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Pledgor: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Hu Zhipeng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ID card No.: 330106197812210436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Legal Address: Foreign Enterprise Service Co., Ltd., No.14, Chaoyangmen Nandajie, Chaoyang District, Beijing, P. R. China</w:t>
      </w:r>
    </w:p>
    <w:p>
      <w:pPr>
        <w:spacing w:after="0" w:line="200" w:lineRule="exact"/>
        <w:rPr>
          <w:sz w:val="20"/>
          <w:szCs w:val="20"/>
          <w:color w:val="auto"/>
        </w:rPr>
      </w:pPr>
    </w:p>
    <w:p>
      <w:pPr>
        <w:sectPr>
          <w:pgSz w:w="11900" w:h="16838" w:orient="portrait"/>
          <w:cols w:equalWidth="0" w:num="2">
            <w:col w:w="660" w:space="640"/>
            <w:col w:w="10120"/>
          </w:cols>
          <w:pgMar w:left="240" w:top="121" w:right="239" w:bottom="63"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Party A (the “</w:t>
      </w:r>
      <w:r>
        <w:rPr>
          <w:rFonts w:ascii="Arial" w:cs="Arial" w:eastAsia="Arial" w:hAnsi="Arial"/>
          <w:sz w:val="18"/>
          <w:szCs w:val="18"/>
          <w:b w:val="1"/>
          <w:bCs w:val="1"/>
          <w:i w:val="1"/>
          <w:iCs w:val="1"/>
          <w:color w:val="auto"/>
        </w:rPr>
        <w:t>Pledgee</w:t>
      </w:r>
      <w:r>
        <w:rPr>
          <w:rFonts w:ascii="Arial" w:cs="Arial" w:eastAsia="Arial" w:hAnsi="Arial"/>
          <w:sz w:val="18"/>
          <w:szCs w:val="18"/>
          <w:color w:val="auto"/>
        </w:rPr>
        <w:t>”) is a wholly foreign-owned enterprise registered in Hangzhou,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Party B (the “</w:t>
      </w:r>
      <w:r>
        <w:rPr>
          <w:rFonts w:ascii="Arial" w:cs="Arial" w:eastAsia="Arial" w:hAnsi="Arial"/>
          <w:sz w:val="18"/>
          <w:szCs w:val="18"/>
          <w:b w:val="1"/>
          <w:bCs w:val="1"/>
          <w:i w:val="1"/>
          <w:iCs w:val="1"/>
          <w:color w:val="auto"/>
        </w:rPr>
        <w:t>Pledgor</w:t>
      </w:r>
      <w:r>
        <w:rPr>
          <w:rFonts w:ascii="Arial" w:cs="Arial" w:eastAsia="Arial" w:hAnsi="Arial"/>
          <w:sz w:val="18"/>
          <w:szCs w:val="18"/>
          <w:color w:val="auto"/>
        </w:rPr>
        <w:t>”) is a citizen of the PRC. The Pledgor owns 50% of the equity interest in Hangzhou Leihuo Network Co., Ltd., a limited liability company registered in Hangzhou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40" w:hanging="652"/>
        <w:spacing w:after="0" w:line="257" w:lineRule="auto"/>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Party A made a loan in the amount of RMB 5,000,000 (hereinafter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to Party B and the parties executed a loan agreement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on March 23, 2009. The term of the Loan is 20 years commencing from the date when Party B received the Loan. Party A and Party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also entered into other agreements on April 15, 2009 pursuant to which Party B has certain performance obligations, with such other agreements being: an exclusive purchase option agreement, a cooperation agreement, a proxy agreement and an operating agreement (the “</w:t>
      </w:r>
      <w:r>
        <w:rPr>
          <w:rFonts w:ascii="Arial" w:cs="Arial" w:eastAsia="Arial" w:hAnsi="Arial"/>
          <w:sz w:val="18"/>
          <w:szCs w:val="18"/>
          <w:b w:val="1"/>
          <w:bCs w:val="1"/>
          <w:i w:val="1"/>
          <w:i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order to ensure that Party B will perform its obligations under the Loan Agreement and the Other Agreements, the Pledgor agrees to pledge all his/her equity interest in the Company as security for the performance of his/her obligations under the Loan Agreement and the Other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Unless otherwise provided in this Agreement, the following terms shall have the following meanings: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w:t>
      </w:r>
      <w:r>
        <w:rPr>
          <w:rFonts w:ascii="Arial" w:cs="Arial" w:eastAsia="Arial" w:hAnsi="Arial"/>
          <w:sz w:val="16"/>
          <w:szCs w:val="16"/>
          <w:b w:val="1"/>
          <w:bCs w:val="1"/>
          <w:i w:val="1"/>
          <w:iCs w:val="1"/>
          <w:color w:val="auto"/>
        </w:rPr>
        <w:t>Pledge</w:t>
      </w:r>
      <w:r>
        <w:rPr>
          <w:rFonts w:ascii="Arial" w:cs="Arial" w:eastAsia="Arial" w:hAnsi="Arial"/>
          <w:sz w:val="16"/>
          <w:szCs w:val="16"/>
          <w:color w:val="auto"/>
        </w:rPr>
        <w:t>”: refers to the full content of Article 2 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Equity Interest</w:t>
      </w:r>
      <w:r>
        <w:rPr>
          <w:rFonts w:ascii="Arial" w:cs="Arial" w:eastAsia="Arial" w:hAnsi="Arial"/>
          <w:sz w:val="16"/>
          <w:szCs w:val="16"/>
          <w:color w:val="auto"/>
        </w:rPr>
        <w:t>”: refers to all of the equity interest in the Company legally held by the Pledgor.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 of Pledge</w:t>
      </w:r>
      <w:r>
        <w:rPr>
          <w:rFonts w:ascii="Arial" w:cs="Arial" w:eastAsia="Arial" w:hAnsi="Arial"/>
          <w:sz w:val="16"/>
          <w:szCs w:val="16"/>
          <w:color w:val="auto"/>
        </w:rPr>
        <w:t>”: refers to the period provided for under Article 3.2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Principal Agreements</w:t>
      </w:r>
      <w:r>
        <w:rPr>
          <w:rFonts w:ascii="Arial" w:cs="Arial" w:eastAsia="Arial" w:hAnsi="Arial"/>
          <w:sz w:val="16"/>
          <w:szCs w:val="16"/>
          <w:color w:val="auto"/>
        </w:rPr>
        <w:t>”: refers to the Loan Agreement and the Other Agreements.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refers to any event listed in Article 7.1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Default</w:t>
      </w:r>
      <w:r>
        <w:rPr>
          <w:rFonts w:ascii="Arial" w:cs="Arial" w:eastAsia="Arial" w:hAnsi="Arial"/>
          <w:sz w:val="16"/>
          <w:szCs w:val="16"/>
          <w:color w:val="auto"/>
        </w:rPr>
        <w:t>”: refers to the notice of default issued by the Pledgee in accordance with this Agreement.</w:t>
      </w:r>
    </w:p>
    <w:p>
      <w:pPr>
        <w:spacing w:after="0" w:line="22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there is any conflict or ambiguity between this Agreement and any other equity pledge agreement entered into by the Parties in connection with registration with governmental authorities, this Agreement shall govern.</w:t>
      </w:r>
    </w:p>
    <w:p>
      <w:pPr>
        <w:spacing w:after="0" w:line="170"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Pledge</w:t>
      </w:r>
    </w:p>
    <w:p>
      <w:pPr>
        <w:spacing w:after="0" w:line="225" w:lineRule="exact"/>
        <w:rPr>
          <w:rFonts w:ascii="Arial" w:cs="Arial" w:eastAsia="Arial" w:hAnsi="Arial"/>
          <w:sz w:val="18"/>
          <w:szCs w:val="18"/>
          <w:color w:val="auto"/>
        </w:rPr>
      </w:pPr>
    </w:p>
    <w:p>
      <w:pPr>
        <w:ind w:left="660" w:right="40"/>
        <w:spacing w:after="0" w:line="259" w:lineRule="auto"/>
        <w:rPr>
          <w:rFonts w:ascii="Arial" w:cs="Arial" w:eastAsia="Arial" w:hAnsi="Arial"/>
          <w:sz w:val="18"/>
          <w:szCs w:val="18"/>
          <w:color w:val="auto"/>
        </w:rPr>
      </w:pPr>
      <w:r>
        <w:rPr>
          <w:rFonts w:ascii="Arial" w:cs="Arial" w:eastAsia="Arial" w:hAnsi="Arial"/>
          <w:sz w:val="18"/>
          <w:szCs w:val="18"/>
          <w:color w:val="auto"/>
        </w:rPr>
        <w:t>The Pledgor agrees to pledge his/her Equity Interest in the Company to the Pledgee as security for his/her obligations under the Principal Agreements. The term “</w:t>
      </w:r>
      <w:r>
        <w:rPr>
          <w:rFonts w:ascii="Arial" w:cs="Arial" w:eastAsia="Arial" w:hAnsi="Arial"/>
          <w:sz w:val="18"/>
          <w:szCs w:val="18"/>
          <w:b w:val="1"/>
          <w:bCs w:val="1"/>
          <w:i w:val="1"/>
          <w:iCs w:val="1"/>
          <w:color w:val="auto"/>
        </w:rPr>
        <w:t>Pledge</w:t>
      </w:r>
      <w:r>
        <w:rPr>
          <w:rFonts w:ascii="Arial" w:cs="Arial" w:eastAsia="Arial" w:hAnsi="Arial"/>
          <w:sz w:val="18"/>
          <w:szCs w:val="18"/>
          <w:color w:val="auto"/>
        </w:rPr>
        <w:t>” under this Agreement refers to the right of the Pledgee to be entitled to priority in receiving payment in the form of the Equity Interest based on the conversion value thereof, or from the proceeds from the auction or sale of the Equity Interest pledged by the Pledgor to the Pledgee.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Term of Pledge</w:t>
      </w:r>
    </w:p>
    <w:p>
      <w:pPr>
        <w:spacing w:after="0" w:line="225" w:lineRule="exact"/>
        <w:rPr>
          <w:rFonts w:ascii="Arial" w:cs="Arial" w:eastAsia="Arial" w:hAnsi="Arial"/>
          <w:sz w:val="18"/>
          <w:szCs w:val="18"/>
          <w:color w:val="auto"/>
        </w:rPr>
      </w:pPr>
    </w:p>
    <w:p>
      <w:pPr>
        <w:ind w:left="1300" w:right="20" w:hanging="648"/>
        <w:spacing w:after="0" w:line="257" w:lineRule="auto"/>
        <w:rPr>
          <w:rFonts w:ascii="Arial" w:cs="Arial" w:eastAsia="Arial" w:hAnsi="Arial"/>
          <w:sz w:val="18"/>
          <w:szCs w:val="18"/>
          <w:color w:val="auto"/>
        </w:rPr>
      </w:pPr>
      <w:r>
        <w:rPr>
          <w:rFonts w:ascii="Arial" w:cs="Arial" w:eastAsia="Arial" w:hAnsi="Arial"/>
          <w:sz w:val="18"/>
          <w:szCs w:val="18"/>
          <w:color w:val="auto"/>
        </w:rPr>
        <w:t>3.1The Pledge shall take effect as of the date when the pledge of the Equity Interest is recorded in the Register of Shareholders of the Company and shall remain in effect until terminated under Article 11 hereunder. The parties agree that, if legally allowed, they will use their best efforts to register the Pledge with the Administration for Industry and Commerce at the place of registration of the Company. However, the parties confirm that the effectiveness of this Agreement is not subject to the registration unless the laws and regulations of the PRC provide otherwise.</w:t>
      </w:r>
    </w:p>
    <w:p>
      <w:pPr>
        <w:sectPr>
          <w:pgSz w:w="11900" w:h="16838" w:orient="portrait"/>
          <w:cols w:equalWidth="0" w:num="1">
            <w:col w:w="11420"/>
          </w:cols>
          <w:pgMar w:left="240" w:top="121" w:right="239" w:bottom="63" w:gutter="0" w:footer="0" w:header="0"/>
          <w:type w:val="continuous"/>
        </w:sectPr>
      </w:pPr>
    </w:p>
    <w:bookmarkStart w:id="123" w:name="page124"/>
    <w:bookmarkEnd w:id="123"/>
    <w:p>
      <w:pPr>
        <w:spacing w:after="0" w:line="90"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During the term of the Pledge, the Pledgee shall be entitled to dispose of the pledged assets in accordance with this Agreement in the event that the Pledgor does not perform his/her obligations under the Principal Agreement.</w:t>
      </w:r>
    </w:p>
    <w:p>
      <w:pPr>
        <w:spacing w:after="0" w:line="170" w:lineRule="exact"/>
        <w:rPr>
          <w:sz w:val="20"/>
          <w:szCs w:val="20"/>
          <w:color w:val="auto"/>
        </w:rPr>
      </w:pPr>
    </w:p>
    <w:p>
      <w:pPr>
        <w:ind w:left="652" w:hanging="652"/>
        <w:spacing w:after="0"/>
        <w:tabs>
          <w:tab w:leader="none" w:pos="6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Physical Possession of Documents</w:t>
      </w:r>
    </w:p>
    <w:p>
      <w:pPr>
        <w:spacing w:after="0" w:line="225" w:lineRule="exact"/>
        <w:rPr>
          <w:rFonts w:ascii="Arial" w:cs="Arial" w:eastAsia="Arial" w:hAnsi="Arial"/>
          <w:sz w:val="18"/>
          <w:szCs w:val="18"/>
          <w:color w:val="auto"/>
        </w:rPr>
      </w:pPr>
    </w:p>
    <w:p>
      <w:pPr>
        <w:ind w:left="1292" w:right="480" w:hanging="648"/>
        <w:spacing w:after="0" w:line="264" w:lineRule="auto"/>
        <w:rPr>
          <w:rFonts w:ascii="Arial" w:cs="Arial" w:eastAsia="Arial" w:hAnsi="Arial"/>
          <w:sz w:val="18"/>
          <w:szCs w:val="18"/>
          <w:color w:val="auto"/>
        </w:rPr>
      </w:pPr>
      <w:r>
        <w:rPr>
          <w:rFonts w:ascii="Arial" w:cs="Arial" w:eastAsia="Arial" w:hAnsi="Arial"/>
          <w:sz w:val="18"/>
          <w:szCs w:val="18"/>
          <w:color w:val="auto"/>
        </w:rPr>
        <w:t>4.1During the term of the Pledge under this Agreement, the Pledgor shall deliver the physical possession of his/her Certificate of Capital Contribution and the Register of Shareholders of the Company to the Pledgee within one (1) week from the execution date of this Agreement.</w:t>
      </w:r>
    </w:p>
    <w:p>
      <w:pPr>
        <w:spacing w:after="0" w:line="18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color w:val="auto"/>
        </w:rPr>
        <w:t>The Pledgee shall be entitled to collect the dividends for the Equity Interest.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Pledge under this Agreement will be recorded in the Register of Shareholders of the Company.</w:t>
      </w:r>
    </w:p>
    <w:p>
      <w:pPr>
        <w:spacing w:after="0" w:line="225" w:lineRule="exact"/>
        <w:rPr>
          <w:sz w:val="20"/>
          <w:szCs w:val="20"/>
          <w:color w:val="auto"/>
        </w:rPr>
      </w:pPr>
    </w:p>
    <w:p>
      <w:pPr>
        <w:ind w:left="652" w:hanging="652"/>
        <w:spacing w:after="0"/>
        <w:tabs>
          <w:tab w:leader="none" w:pos="6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Representation and Warranty of the Pledgor</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The Pledgor is the legal owner of the Equity Interest pledged.</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Except for the benefit of the Pledgee, the Pledgor has not pledged the Equity Interest or created other encumbrance on the Equity Interest.</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Covenants of the Pledgor</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During the effective term of this Agreement, the Pledgor covenants to the Pledgee for its benefit that the Pledgor shall:</w:t>
      </w:r>
    </w:p>
    <w:p>
      <w:pPr>
        <w:spacing w:after="0" w:line="225" w:lineRule="exact"/>
        <w:rPr>
          <w:sz w:val="20"/>
          <w:szCs w:val="20"/>
          <w:color w:val="auto"/>
        </w:rPr>
      </w:pPr>
    </w:p>
    <w:p>
      <w:pPr>
        <w:ind w:left="1932" w:right="100" w:hanging="647"/>
        <w:spacing w:after="0" w:line="277" w:lineRule="auto"/>
        <w:tabs>
          <w:tab w:leader="none" w:pos="1912" w:val="left"/>
        </w:tabs>
        <w:rPr>
          <w:sz w:val="20"/>
          <w:szCs w:val="20"/>
          <w:color w:val="auto"/>
        </w:rPr>
      </w:pPr>
      <w:r>
        <w:rPr>
          <w:rFonts w:ascii="Arial" w:cs="Arial" w:eastAsia="Arial" w:hAnsi="Arial"/>
          <w:sz w:val="18"/>
          <w:szCs w:val="18"/>
          <w:color w:val="auto"/>
        </w:rPr>
        <w:t>6.1.1</w:t>
        <w:tab/>
        <w:t>Not transfer or assign the Equity Interest, create or permit the existence of any other pledges which may have an adverse effect on the rights or benefits of the Pledgee without prior written consent of the Pledgee;</w:t>
      </w:r>
    </w:p>
    <w:p>
      <w:pPr>
        <w:spacing w:after="0" w:line="170" w:lineRule="exact"/>
        <w:rPr>
          <w:sz w:val="20"/>
          <w:szCs w:val="20"/>
          <w:color w:val="auto"/>
        </w:rPr>
      </w:pPr>
    </w:p>
    <w:p>
      <w:pPr>
        <w:ind w:left="1932" w:right="60" w:hanging="647"/>
        <w:spacing w:after="0" w:line="279" w:lineRule="auto"/>
        <w:tabs>
          <w:tab w:leader="none" w:pos="191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color w:val="auto"/>
        </w:rPr>
        <w:t>Comply with laws and regulations with respect to the pledge of rights; present to the Pledgee the notices, orders or suggestions with respect to the Pledge issued or made by relevant government authorities within five (5) days upon receiving such notices, orders or suggestions; comply with such notices, orders or suggestions or, alternatively, at the reasonable request of the Pledgee or with consent from the Pledgee, raise objection to such notices, orders or suggestions;</w:t>
      </w:r>
    </w:p>
    <w:p>
      <w:pPr>
        <w:spacing w:after="0" w:line="171" w:lineRule="exact"/>
        <w:rPr>
          <w:sz w:val="20"/>
          <w:szCs w:val="20"/>
          <w:color w:val="auto"/>
        </w:rPr>
      </w:pPr>
    </w:p>
    <w:p>
      <w:pPr>
        <w:jc w:val="both"/>
        <w:ind w:left="1932" w:right="420" w:hanging="647"/>
        <w:spacing w:after="0" w:line="264" w:lineRule="auto"/>
        <w:tabs>
          <w:tab w:leader="none" w:pos="1912" w:val="left"/>
        </w:tabs>
        <w:rPr>
          <w:sz w:val="20"/>
          <w:szCs w:val="20"/>
          <w:color w:val="auto"/>
        </w:rPr>
      </w:pPr>
      <w:r>
        <w:rPr>
          <w:rFonts w:ascii="Arial" w:cs="Arial" w:eastAsia="Arial" w:hAnsi="Arial"/>
          <w:sz w:val="18"/>
          <w:szCs w:val="18"/>
          <w:color w:val="auto"/>
        </w:rPr>
        <w:t>6.1.3</w:t>
        <w:tab/>
        <w:t>Timely notify the Pledgee of any events or any notices received which may affect the Pledgor’s right to all or any part of the Equity Interest, and any events or any received notices which may change the Pledgor’s warranties and obligations under this Agreement or affect the Pledgor’s performance of its obligations under this Agreement.</w:t>
      </w:r>
    </w:p>
    <w:p>
      <w:pPr>
        <w:spacing w:after="0" w:line="181" w:lineRule="exact"/>
        <w:rPr>
          <w:sz w:val="20"/>
          <w:szCs w:val="20"/>
          <w:color w:val="auto"/>
        </w:rPr>
      </w:pPr>
    </w:p>
    <w:p>
      <w:pPr>
        <w:ind w:left="1292" w:right="340" w:hanging="647"/>
        <w:spacing w:after="0" w:line="342" w:lineRule="auto"/>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Pledgor agrees that the Pledgee’s right to the Pledge obtained from this Agreement shall not be suspended or inhibited by any legal procedure initiated by the Pledgor or any successors of the Pledgor or any person authorized by the Pledgor or any other person.</w:t>
      </w:r>
    </w:p>
    <w:p>
      <w:pPr>
        <w:spacing w:after="0" w:line="124" w:lineRule="exact"/>
        <w:rPr>
          <w:sz w:val="20"/>
          <w:szCs w:val="20"/>
          <w:color w:val="auto"/>
        </w:rPr>
      </w:pPr>
    </w:p>
    <w:p>
      <w:pPr>
        <w:ind w:left="1292" w:right="40" w:hanging="647"/>
        <w:spacing w:after="0" w:line="293" w:lineRule="auto"/>
        <w:tabs>
          <w:tab w:leader="none" w:pos="12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Pledgor promises to the Pledgee that in order to protect or perfect the security for the payment of the Loan, the Pledgor shall execute in good faith and cause other parties who have interests in the Pledge to execute, all title certificates and contracts, and/or perform any other actions (and cause other parties who have interests to take actions) as required by the Pledgee and facilitate the exercise of the rights and authority granted to the Pledgee under this Agreement. The Pledgor also promises to execute (i) a power of attorney in the form of Exhibit A to appoint any party designated by Party A as the Pledgor’s proxy for executing legal documents that are necessary or useful for effecting this Agreement and (ii) a transfer agreement in the form of Exhibit B to transfer his/her Equity Interest.</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right="20" w:hanging="647"/>
        <w:spacing w:after="0" w:line="286" w:lineRule="auto"/>
        <w:tabs>
          <w:tab w:leader="none" w:pos="12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The Pledgor promises to the Pledgee that he/she will execute all amendment documents (if applicable and necessary) in connection with the certificate of the Equity Interest with the Pledgee or its designated person (being a natural person or a legal entity) and, within a reasonable period, provide to the Pledgee all notices, orders and decisions about the Pledge as the Pledgee deems necessary.</w:t>
      </w:r>
    </w:p>
    <w:p>
      <w:pPr>
        <w:spacing w:after="0" w:line="166" w:lineRule="exact"/>
        <w:rPr>
          <w:sz w:val="20"/>
          <w:szCs w:val="20"/>
          <w:color w:val="auto"/>
        </w:rPr>
      </w:pPr>
    </w:p>
    <w:p>
      <w:pPr>
        <w:ind w:left="1292" w:hanging="647"/>
        <w:spacing w:after="0" w:line="312" w:lineRule="auto"/>
        <w:tabs>
          <w:tab w:leader="none" w:pos="127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The Pledgor promises to the Pledgee that he/she will comply with and perform all the guarantees, covenants, warranties, representations and conditions for the benefit of the Pledgee. The Pledgor shall compensate the Pledgee for all losses suffered by the Pledgee because of the Pledgor’s failure to perform in whole or in part its guarantees, covenants, warranties, representations and conditions.</w:t>
      </w:r>
    </w:p>
    <w:p>
      <w:pPr>
        <w:spacing w:after="0" w:line="147" w:lineRule="exact"/>
        <w:rPr>
          <w:sz w:val="20"/>
          <w:szCs w:val="20"/>
          <w:color w:val="auto"/>
        </w:rPr>
      </w:pPr>
    </w:p>
    <w:p>
      <w:pPr>
        <w:ind w:left="652" w:hanging="652"/>
        <w:spacing w:after="0"/>
        <w:tabs>
          <w:tab w:leader="none" w:pos="65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Event of Default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The following events shall be regarded as events of default:</w:t>
      </w:r>
    </w:p>
    <w:p>
      <w:pPr>
        <w:spacing w:after="0" w:line="225"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7.1.1   Pledgor fails to perform his/her obligations under any of the Principal Agreements;</w:t>
      </w:r>
    </w:p>
    <w:p>
      <w:pPr>
        <w:spacing w:after="0" w:line="225" w:lineRule="exact"/>
        <w:rPr>
          <w:sz w:val="20"/>
          <w:szCs w:val="20"/>
          <w:color w:val="auto"/>
        </w:rPr>
      </w:pPr>
    </w:p>
    <w:p>
      <w:pPr>
        <w:ind w:left="1932" w:right="220" w:hanging="647"/>
        <w:spacing w:after="0" w:line="277" w:lineRule="auto"/>
        <w:tabs>
          <w:tab w:leader="none" w:pos="1912" w:val="left"/>
        </w:tabs>
        <w:rPr>
          <w:sz w:val="20"/>
          <w:szCs w:val="20"/>
          <w:color w:val="auto"/>
        </w:rPr>
      </w:pPr>
      <w:r>
        <w:rPr>
          <w:rFonts w:ascii="Arial" w:cs="Arial" w:eastAsia="Arial" w:hAnsi="Arial"/>
          <w:sz w:val="18"/>
          <w:szCs w:val="18"/>
          <w:color w:val="auto"/>
        </w:rPr>
        <w:t>7.1.2</w:t>
        <w:tab/>
        <w:t>Any representation or warranty made by the Pledgor in Article 5 hereof contains material misleading statements or errors and/or the Pledgor breaches any warranty in Article 5 hereof;</w:t>
      </w:r>
    </w:p>
    <w:p>
      <w:pPr>
        <w:spacing w:after="0" w:line="170"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Pledgor breaches the covenants under Article 6 hereof;</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The Pledgor breaches another provision of this Agreement;</w:t>
      </w:r>
    </w:p>
    <w:p>
      <w:pPr>
        <w:spacing w:after="0" w:line="225" w:lineRule="exact"/>
        <w:rPr>
          <w:sz w:val="20"/>
          <w:szCs w:val="20"/>
          <w:color w:val="auto"/>
        </w:rPr>
      </w:pPr>
    </w:p>
    <w:p>
      <w:pPr>
        <w:ind w:left="1932" w:right="280" w:hanging="647"/>
        <w:spacing w:after="0" w:line="277" w:lineRule="auto"/>
        <w:tabs>
          <w:tab w:leader="none" w:pos="1912" w:val="left"/>
        </w:tabs>
        <w:rPr>
          <w:sz w:val="20"/>
          <w:szCs w:val="20"/>
          <w:color w:val="auto"/>
        </w:rPr>
      </w:pPr>
      <w:r>
        <w:rPr>
          <w:rFonts w:ascii="Arial" w:cs="Arial" w:eastAsia="Arial" w:hAnsi="Arial"/>
          <w:sz w:val="18"/>
          <w:szCs w:val="18"/>
          <w:color w:val="auto"/>
        </w:rPr>
        <w:t>7.1.5</w:t>
        <w:tab/>
        <w:t>The Pledgor waives the pledged Equity Interest or transfers or assigns the pledged Equity Interest without prior written consent from the Pledgee;</w:t>
      </w:r>
    </w:p>
    <w:p>
      <w:pPr>
        <w:sectPr>
          <w:pgSz w:w="11900" w:h="16929" w:orient="portrait"/>
          <w:cols w:equalWidth="0" w:num="1">
            <w:col w:w="11392"/>
          </w:cols>
          <w:pgMar w:left="248" w:top="125" w:right="259" w:bottom="0" w:gutter="0" w:footer="0" w:header="0"/>
        </w:sectPr>
      </w:pPr>
    </w:p>
    <w:bookmarkStart w:id="124" w:name="page125"/>
    <w:bookmarkEnd w:id="124"/>
    <w:p>
      <w:pPr>
        <w:spacing w:after="0" w:line="137" w:lineRule="exact"/>
        <w:rPr>
          <w:sz w:val="20"/>
          <w:szCs w:val="20"/>
          <w:color w:val="auto"/>
        </w:rPr>
      </w:pPr>
    </w:p>
    <w:p>
      <w:pPr>
        <w:ind w:left="1932" w:right="260" w:hanging="647"/>
        <w:spacing w:after="0" w:line="312" w:lineRule="auto"/>
        <w:tabs>
          <w:tab w:leader="none" w:pos="1912"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color w:val="auto"/>
        </w:rPr>
        <w:t>Any of the Pledgor’s external loans, guaranties, compensations, undertakings or other obligations (1) is required to be repaid or performed prior to the scheduled due date because of a default; or (2) is due but cannot be repaid or performed as scheduled, causing the Pledgee to believe that the Pledgor’s ability to perform the obligations hereunder has been affected;</w:t>
      </w:r>
    </w:p>
    <w:p>
      <w:pPr>
        <w:spacing w:after="0" w:line="147"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color w:val="auto"/>
        </w:rPr>
        <w:t>The Company is incapable of repaying its general debts or other debts;</w:t>
      </w:r>
    </w:p>
    <w:p>
      <w:pPr>
        <w:spacing w:after="0" w:line="225" w:lineRule="exact"/>
        <w:rPr>
          <w:sz w:val="20"/>
          <w:szCs w:val="20"/>
          <w:color w:val="auto"/>
        </w:rPr>
      </w:pPr>
    </w:p>
    <w:p>
      <w:pPr>
        <w:ind w:left="1932" w:hanging="647"/>
        <w:spacing w:after="0" w:line="277" w:lineRule="auto"/>
        <w:tabs>
          <w:tab w:leader="none" w:pos="1912" w:val="left"/>
        </w:tabs>
        <w:rPr>
          <w:sz w:val="20"/>
          <w:szCs w:val="20"/>
          <w:color w:val="auto"/>
        </w:rPr>
      </w:pPr>
      <w:r>
        <w:rPr>
          <w:rFonts w:ascii="Arial" w:cs="Arial" w:eastAsia="Arial" w:hAnsi="Arial"/>
          <w:sz w:val="18"/>
          <w:szCs w:val="18"/>
          <w:color w:val="auto"/>
        </w:rPr>
        <w:t>7.1.8</w:t>
        <w:tab/>
        <w:t>This Agreement becomes illegal or the Pledgor is not capable of continuing to perform the obligations hereunder due to any reason other than force majeure;</w:t>
      </w:r>
    </w:p>
    <w:p>
      <w:pPr>
        <w:spacing w:after="0" w:line="170" w:lineRule="exact"/>
        <w:rPr>
          <w:sz w:val="20"/>
          <w:szCs w:val="20"/>
          <w:color w:val="auto"/>
        </w:rPr>
      </w:pPr>
    </w:p>
    <w:p>
      <w:pPr>
        <w:ind w:left="1932" w:right="140" w:hanging="647"/>
        <w:spacing w:after="0" w:line="277" w:lineRule="auto"/>
        <w:tabs>
          <w:tab w:leader="none" w:pos="1912" w:val="left"/>
        </w:tabs>
        <w:rPr>
          <w:sz w:val="20"/>
          <w:szCs w:val="20"/>
          <w:color w:val="auto"/>
        </w:rPr>
      </w:pPr>
      <w:r>
        <w:rPr>
          <w:rFonts w:ascii="Arial" w:cs="Arial" w:eastAsia="Arial" w:hAnsi="Arial"/>
          <w:sz w:val="18"/>
          <w:szCs w:val="18"/>
          <w:color w:val="auto"/>
        </w:rPr>
        <w:t>7.1.9</w:t>
        <w:tab/>
        <w:t>There have been adverse changes to the properties owned by the Pledgor, causing the Pledgee to believe that the capability of the Pledgor to perform the obligations hereunder has been affected; or</w:t>
      </w:r>
    </w:p>
    <w:p>
      <w:pPr>
        <w:spacing w:after="0" w:line="170"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7.1.10</w:t>
      </w:r>
      <w:r>
        <w:rPr>
          <w:sz w:val="20"/>
          <w:szCs w:val="20"/>
          <w:color w:val="auto"/>
        </w:rPr>
        <w:tab/>
      </w:r>
      <w:r>
        <w:rPr>
          <w:rFonts w:ascii="Arial" w:cs="Arial" w:eastAsia="Arial" w:hAnsi="Arial"/>
          <w:sz w:val="16"/>
          <w:szCs w:val="16"/>
          <w:color w:val="auto"/>
        </w:rPr>
        <w:t>The breach of the other provisions of this Agreement by the Pledgor due to his/her act or omission.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620" w:hanging="647"/>
        <w:spacing w:after="0" w:line="277" w:lineRule="auto"/>
        <w:tabs>
          <w:tab w:leader="none" w:pos="12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Pledgor shall immediately give a written notice to the Pledgee if the Pledgor knows or discovers that any event specified under Article 7.1 hereof or any event that may result in the foregoing events has occurred.</w:t>
      </w:r>
    </w:p>
    <w:p>
      <w:pPr>
        <w:spacing w:after="0" w:line="170" w:lineRule="exact"/>
        <w:rPr>
          <w:sz w:val="20"/>
          <w:szCs w:val="20"/>
          <w:color w:val="auto"/>
        </w:rPr>
      </w:pPr>
    </w:p>
    <w:p>
      <w:pPr>
        <w:ind w:left="1292" w:right="40" w:hanging="647"/>
        <w:spacing w:after="0" w:line="302" w:lineRule="auto"/>
        <w:tabs>
          <w:tab w:leader="none" w:pos="127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Unless an event of default under Article 7.1 hereof has been solved to the Pledgee’s satisfaction, the Pledgee, at any time when the event of default occurs or at anytime thereafter, may give a written notice of default to the Pledgor either (i) requiring the Pledgor to immediately cause payment into a bank account designated by the Pledgee of the full outstanding amount under the Loan Agreement and/or make any other payments required under any other Principal Agreement or (ii) requesting to exercise the Pledge in accordance with Article 8 hereof.</w:t>
      </w:r>
    </w:p>
    <w:p>
      <w:pPr>
        <w:spacing w:after="0" w:line="154" w:lineRule="exact"/>
        <w:rPr>
          <w:sz w:val="20"/>
          <w:szCs w:val="20"/>
          <w:color w:val="auto"/>
        </w:rPr>
      </w:pPr>
    </w:p>
    <w:p>
      <w:pPr>
        <w:ind w:left="652" w:hanging="652"/>
        <w:spacing w:after="0"/>
        <w:tabs>
          <w:tab w:leader="none" w:pos="6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Exercise of the Pledge</w:t>
      </w:r>
    </w:p>
    <w:p>
      <w:pPr>
        <w:spacing w:after="0" w:line="225" w:lineRule="exact"/>
        <w:rPr>
          <w:rFonts w:ascii="Arial" w:cs="Arial" w:eastAsia="Arial" w:hAnsi="Arial"/>
          <w:sz w:val="18"/>
          <w:szCs w:val="18"/>
          <w:color w:val="auto"/>
        </w:rPr>
      </w:pPr>
    </w:p>
    <w:p>
      <w:pPr>
        <w:ind w:left="1292" w:right="100" w:hanging="648"/>
        <w:spacing w:after="0" w:line="277" w:lineRule="auto"/>
        <w:rPr>
          <w:rFonts w:ascii="Arial" w:cs="Arial" w:eastAsia="Arial" w:hAnsi="Arial"/>
          <w:sz w:val="18"/>
          <w:szCs w:val="18"/>
          <w:color w:val="auto"/>
        </w:rPr>
      </w:pPr>
      <w:r>
        <w:rPr>
          <w:rFonts w:ascii="Arial" w:cs="Arial" w:eastAsia="Arial" w:hAnsi="Arial"/>
          <w:sz w:val="18"/>
          <w:szCs w:val="18"/>
          <w:color w:val="auto"/>
        </w:rPr>
        <w:t>8.1The Pledgor shall not transfer or assign the Equity Interest without prior written approval from the Pledgee prior to the full performance of his/her obligations under the Principal Agreements.</w:t>
      </w:r>
    </w:p>
    <w:p>
      <w:pPr>
        <w:spacing w:after="0" w:line="170"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color w:val="auto"/>
        </w:rPr>
        <w:t>The Pledgee shall give a notice of default to the Pledgor when the Pledgee exercises the Pledge.</w:t>
      </w:r>
    </w:p>
    <w:p>
      <w:pPr>
        <w:spacing w:after="0" w:line="225" w:lineRule="exact"/>
        <w:rPr>
          <w:rFonts w:ascii="Arial" w:cs="Arial" w:eastAsia="Arial" w:hAnsi="Arial"/>
          <w:sz w:val="18"/>
          <w:szCs w:val="18"/>
          <w:color w:val="auto"/>
        </w:rPr>
      </w:pPr>
    </w:p>
    <w:p>
      <w:pPr>
        <w:ind w:left="1292" w:right="140" w:hanging="648"/>
        <w:spacing w:after="0" w:line="277" w:lineRule="auto"/>
        <w:rPr>
          <w:rFonts w:ascii="Arial" w:cs="Arial" w:eastAsia="Arial" w:hAnsi="Arial"/>
          <w:sz w:val="18"/>
          <w:szCs w:val="18"/>
          <w:color w:val="auto"/>
        </w:rPr>
      </w:pPr>
      <w:r>
        <w:rPr>
          <w:rFonts w:ascii="Arial" w:cs="Arial" w:eastAsia="Arial" w:hAnsi="Arial"/>
          <w:sz w:val="18"/>
          <w:szCs w:val="18"/>
          <w:color w:val="auto"/>
        </w:rPr>
        <w:t>8.3Subject to Article 7.3, the Pledgee may exercise the Pledge when the Pledgee gives a notice of default in accordance with Article 7.3 or at anytime thereafter.</w:t>
      </w:r>
    </w:p>
    <w:p>
      <w:pPr>
        <w:spacing w:after="0" w:line="170" w:lineRule="exact"/>
        <w:rPr>
          <w:rFonts w:ascii="Arial" w:cs="Arial" w:eastAsia="Arial" w:hAnsi="Arial"/>
          <w:sz w:val="18"/>
          <w:szCs w:val="18"/>
          <w:color w:val="auto"/>
        </w:rPr>
      </w:pPr>
    </w:p>
    <w:p>
      <w:pPr>
        <w:ind w:left="1292" w:right="460" w:hanging="648"/>
        <w:spacing w:after="0" w:line="312" w:lineRule="auto"/>
        <w:rPr>
          <w:rFonts w:ascii="Arial" w:cs="Arial" w:eastAsia="Arial" w:hAnsi="Arial"/>
          <w:sz w:val="18"/>
          <w:szCs w:val="18"/>
          <w:color w:val="auto"/>
        </w:rPr>
      </w:pPr>
      <w:r>
        <w:rPr>
          <w:rFonts w:ascii="Arial" w:cs="Arial" w:eastAsia="Arial" w:hAnsi="Arial"/>
          <w:sz w:val="18"/>
          <w:szCs w:val="18"/>
          <w:color w:val="auto"/>
        </w:rPr>
        <w:t>8.4</w:t>
      </w:r>
      <w:r>
        <w:rPr>
          <w:rFonts w:ascii="Arial" w:cs="Arial" w:eastAsia="Arial" w:hAnsi="Arial"/>
          <w:sz w:val="16"/>
          <w:szCs w:val="16"/>
          <w:color w:val="auto"/>
        </w:rPr>
        <w:t>The Pledgee is entitled to priority in receiving payment in the form of all or part of the Equity Interest based on the conversion value thereof, or from the proceeds from the auction or sale of all or part of the Equity Interest in accordance with legal procedure, until the outstanding debt and all other payables of the Pledgor under Loan Agreement and any other Principal Agreement are repaid.</w:t>
      </w:r>
    </w:p>
    <w:p>
      <w:pPr>
        <w:spacing w:after="0" w:line="146" w:lineRule="exact"/>
        <w:rPr>
          <w:rFonts w:ascii="Arial" w:cs="Arial" w:eastAsia="Arial" w:hAnsi="Arial"/>
          <w:sz w:val="18"/>
          <w:szCs w:val="18"/>
          <w:color w:val="auto"/>
        </w:rPr>
      </w:pPr>
    </w:p>
    <w:p>
      <w:pPr>
        <w:ind w:left="1292" w:right="60" w:hanging="648"/>
        <w:spacing w:after="0" w:line="277" w:lineRule="auto"/>
        <w:rPr>
          <w:rFonts w:ascii="Arial" w:cs="Arial" w:eastAsia="Arial" w:hAnsi="Arial"/>
          <w:sz w:val="18"/>
          <w:szCs w:val="18"/>
          <w:color w:val="auto"/>
        </w:rPr>
      </w:pPr>
      <w:r>
        <w:rPr>
          <w:rFonts w:ascii="Arial" w:cs="Arial" w:eastAsia="Arial" w:hAnsi="Arial"/>
          <w:sz w:val="18"/>
          <w:szCs w:val="18"/>
          <w:color w:val="auto"/>
        </w:rPr>
        <w:t>8.5The Pledgor shall not hinder the Pledgee from exercising the Pledge in accordance with this Agreement and shall give necessary assistance so that the Pledgee can fully exercise its Pledge.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Assignment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The Pledgor shall not assign or transfer its rights and obligations hereunder without prior consent from the Pledgee.</w:t>
      </w:r>
    </w:p>
    <w:p>
      <w:pPr>
        <w:spacing w:after="0" w:line="225" w:lineRule="exact"/>
        <w:rPr>
          <w:rFonts w:ascii="Arial" w:cs="Arial" w:eastAsia="Arial" w:hAnsi="Arial"/>
          <w:sz w:val="18"/>
          <w:szCs w:val="18"/>
          <w:color w:val="auto"/>
        </w:rPr>
      </w:pPr>
    </w:p>
    <w:p>
      <w:pPr>
        <w:ind w:left="1292" w:right="60" w:hanging="648"/>
        <w:spacing w:after="0" w:line="257" w:lineRule="auto"/>
        <w:rPr>
          <w:rFonts w:ascii="Arial" w:cs="Arial" w:eastAsia="Arial" w:hAnsi="Arial"/>
          <w:sz w:val="18"/>
          <w:szCs w:val="18"/>
          <w:color w:val="auto"/>
        </w:rPr>
      </w:pPr>
      <w:r>
        <w:rPr>
          <w:rFonts w:ascii="Arial" w:cs="Arial" w:eastAsia="Arial" w:hAnsi="Arial"/>
          <w:sz w:val="18"/>
          <w:szCs w:val="18"/>
          <w:color w:val="auto"/>
        </w:rPr>
        <w:t>9.2This Agreement shall be binding upon the Pledgor and his/her successors and be binding on the Pledgee and each of its successors and permitted assigns.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hanging="647"/>
        <w:spacing w:after="0" w:line="297" w:lineRule="auto"/>
        <w:tabs>
          <w:tab w:leader="none" w:pos="127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To the extent permitted by law, the Pledgee may transfer or assign any or all of its rights and obligations under the Principal Agreements to any person (natural person or legal entity) designated by it at any time. In that case, the assignee shall have the same rights and obligations as those of the Pledgee as if the assignee was an original party hereto. When the Pledgee transfers or assigns the rights and obligations under the Principal Agreements, it is only required to provide a written notice to the Pledgor, and at the request of the Pledgee, the Pledgor shall execute the relevant agreements and/or documents with respect to such transfer or assignment.</w:t>
      </w:r>
    </w:p>
    <w:p>
      <w:pPr>
        <w:spacing w:after="0" w:line="158" w:lineRule="exact"/>
        <w:rPr>
          <w:sz w:val="20"/>
          <w:szCs w:val="20"/>
          <w:color w:val="auto"/>
        </w:rPr>
      </w:pPr>
    </w:p>
    <w:p>
      <w:pPr>
        <w:ind w:left="1292" w:right="420" w:hanging="647"/>
        <w:spacing w:after="0" w:line="277" w:lineRule="auto"/>
        <w:tabs>
          <w:tab w:leader="none" w:pos="127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After the Pledgee has been changed as a result of a transfer or an assignment, the new parties to the Pledge shall execute a new pledge contract.</w:t>
      </w:r>
    </w:p>
    <w:p>
      <w:pPr>
        <w:spacing w:after="0" w:line="170" w:lineRule="exact"/>
        <w:rPr>
          <w:sz w:val="20"/>
          <w:szCs w:val="20"/>
          <w:color w:val="auto"/>
        </w:rPr>
      </w:pPr>
    </w:p>
    <w:p>
      <w:pPr>
        <w:ind w:left="652" w:hanging="652"/>
        <w:spacing w:after="0"/>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Effectiveness</w:t>
      </w:r>
    </w:p>
    <w:p>
      <w:pPr>
        <w:spacing w:after="0" w:line="225" w:lineRule="exact"/>
        <w:rPr>
          <w:rFonts w:ascii="Arial" w:cs="Arial" w:eastAsia="Arial" w:hAnsi="Arial"/>
          <w:sz w:val="18"/>
          <w:szCs w:val="18"/>
          <w:color w:val="auto"/>
        </w:rPr>
      </w:pPr>
    </w:p>
    <w:p>
      <w:pPr>
        <w:ind w:left="652" w:right="700"/>
        <w:spacing w:after="0" w:line="277" w:lineRule="auto"/>
        <w:rPr>
          <w:rFonts w:ascii="Arial" w:cs="Arial" w:eastAsia="Arial" w:hAnsi="Arial"/>
          <w:sz w:val="18"/>
          <w:szCs w:val="18"/>
          <w:color w:val="auto"/>
        </w:rPr>
      </w:pPr>
      <w:r>
        <w:rPr>
          <w:rFonts w:ascii="Arial" w:cs="Arial" w:eastAsia="Arial" w:hAnsi="Arial"/>
          <w:sz w:val="18"/>
          <w:szCs w:val="18"/>
          <w:color w:val="auto"/>
        </w:rPr>
        <w:t>This Agreement is effective as of the date first set forth above and from the date when the pledge is recorded on the Company’s Register of Shareholders.</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rFonts w:ascii="Arial" w:cs="Arial" w:eastAsia="Arial" w:hAnsi="Arial"/>
          <w:sz w:val="18"/>
          <w:szCs w:val="18"/>
          <w:color w:val="auto"/>
        </w:rPr>
      </w:pPr>
    </w:p>
    <w:p>
      <w:pPr>
        <w:jc w:val="both"/>
        <w:ind w:left="652" w:right="60"/>
        <w:spacing w:after="0" w:line="342" w:lineRule="auto"/>
        <w:rPr>
          <w:rFonts w:ascii="Arial" w:cs="Arial" w:eastAsia="Arial" w:hAnsi="Arial"/>
          <w:sz w:val="18"/>
          <w:szCs w:val="18"/>
          <w:color w:val="auto"/>
        </w:rPr>
      </w:pPr>
      <w:r>
        <w:rPr>
          <w:rFonts w:ascii="Arial" w:cs="Arial" w:eastAsia="Arial" w:hAnsi="Arial"/>
          <w:sz w:val="16"/>
          <w:szCs w:val="16"/>
          <w:color w:val="auto"/>
        </w:rPr>
        <w:t>This Agreement shall terminate when the Pledgee confirms in writing that the loan under the Loan Agreement has been fully repaid and the Pledgor no longer has any outstanding obligations under the Principal Agreements. Thereafter, the Pledgee shall cancel or terminate this Agreement as soon</w:t>
      </w:r>
    </w:p>
    <w:p>
      <w:pPr>
        <w:sectPr>
          <w:pgSz w:w="11900" w:h="16975" w:orient="portrait"/>
          <w:cols w:equalWidth="0" w:num="1">
            <w:col w:w="11372"/>
          </w:cols>
          <w:pgMar w:left="248" w:top="341" w:right="279" w:bottom="0" w:gutter="0" w:footer="0" w:header="0"/>
        </w:sectPr>
      </w:pPr>
    </w:p>
    <w:bookmarkStart w:id="125" w:name="page126"/>
    <w:bookmarkEnd w:id="125"/>
    <w:p>
      <w:pPr>
        <w:ind w:left="652"/>
        <w:spacing w:after="0"/>
        <w:rPr>
          <w:sz w:val="20"/>
          <w:szCs w:val="20"/>
          <w:color w:val="auto"/>
        </w:rPr>
      </w:pPr>
      <w:r>
        <w:rPr>
          <w:rFonts w:ascii="Arial" w:cs="Arial" w:eastAsia="Arial" w:hAnsi="Arial"/>
          <w:sz w:val="18"/>
          <w:szCs w:val="18"/>
          <w:color w:val="auto"/>
        </w:rPr>
        <w:t>as reasonably practicable.</w:t>
      </w:r>
    </w:p>
    <w:p>
      <w:pPr>
        <w:spacing w:after="0" w:line="225" w:lineRule="exact"/>
        <w:rPr>
          <w:sz w:val="20"/>
          <w:szCs w:val="20"/>
          <w:color w:val="auto"/>
        </w:rPr>
      </w:pPr>
    </w:p>
    <w:p>
      <w:pPr>
        <w:ind w:left="652" w:hanging="652"/>
        <w:spacing w:after="0"/>
        <w:tabs>
          <w:tab w:leader="none" w:pos="6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Fees and Other Charges</w:t>
      </w:r>
    </w:p>
    <w:p>
      <w:pPr>
        <w:spacing w:after="0" w:line="225" w:lineRule="exact"/>
        <w:rPr>
          <w:rFonts w:ascii="Arial" w:cs="Arial" w:eastAsia="Arial" w:hAnsi="Arial"/>
          <w:sz w:val="18"/>
          <w:szCs w:val="18"/>
          <w:color w:val="auto"/>
        </w:rPr>
      </w:pPr>
    </w:p>
    <w:p>
      <w:pPr>
        <w:ind w:left="1292" w:hanging="648"/>
        <w:spacing w:after="0" w:line="264" w:lineRule="auto"/>
        <w:rPr>
          <w:rFonts w:ascii="Arial" w:cs="Arial" w:eastAsia="Arial" w:hAnsi="Arial"/>
          <w:sz w:val="18"/>
          <w:szCs w:val="18"/>
          <w:color w:val="auto"/>
        </w:rPr>
      </w:pPr>
      <w:r>
        <w:rPr>
          <w:rFonts w:ascii="Arial" w:cs="Arial" w:eastAsia="Arial" w:hAnsi="Arial"/>
          <w:sz w:val="18"/>
          <w:szCs w:val="18"/>
          <w:color w:val="auto"/>
        </w:rPr>
        <w:t>12.1 The Pledgor shall be responsible for all of the fees and actual expenses in relation to this Agreement including, but not limited to, legal fees, production costs, stamp tax and any other taxes and charges. If the Pledgee pays the relevant taxes in accordance with the laws, the Pledgor shall fully indemnify the Pledgee for such taxes paid by the Pledgee.</w:t>
      </w:r>
    </w:p>
    <w:p>
      <w:pPr>
        <w:spacing w:after="0" w:line="181" w:lineRule="exact"/>
        <w:rPr>
          <w:rFonts w:ascii="Arial" w:cs="Arial" w:eastAsia="Arial" w:hAnsi="Arial"/>
          <w:sz w:val="18"/>
          <w:szCs w:val="18"/>
          <w:color w:val="auto"/>
        </w:rPr>
      </w:pPr>
    </w:p>
    <w:p>
      <w:pPr>
        <w:ind w:left="1292" w:right="100" w:hanging="648"/>
        <w:spacing w:after="0" w:line="259" w:lineRule="auto"/>
        <w:rPr>
          <w:rFonts w:ascii="Arial" w:cs="Arial" w:eastAsia="Arial" w:hAnsi="Arial"/>
          <w:sz w:val="18"/>
          <w:szCs w:val="18"/>
          <w:color w:val="auto"/>
        </w:rPr>
      </w:pPr>
      <w:r>
        <w:rPr>
          <w:rFonts w:ascii="Arial" w:cs="Arial" w:eastAsia="Arial" w:hAnsi="Arial"/>
          <w:sz w:val="18"/>
          <w:szCs w:val="18"/>
          <w:color w:val="auto"/>
        </w:rPr>
        <w:t>12.2 In the event that the Pledgee has to make a claim against the Pledgor by any means as a result of the Pledgor’s failure to pay any tax or expense payable by the Pledgor under this Agreement, the Pledgor shall be responsible for all the expenses arising from such claim (including but not limited to any taxes, handling fees, management fees, litigation fees, attorney’s fees, and various insurance premiums in connection with the disposition of the Pledge).</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225" w:lineRule="exact"/>
        <w:rPr>
          <w:rFonts w:ascii="Arial" w:cs="Arial" w:eastAsia="Arial" w:hAnsi="Arial"/>
          <w:sz w:val="18"/>
          <w:szCs w:val="18"/>
          <w:color w:val="auto"/>
        </w:rPr>
      </w:pPr>
    </w:p>
    <w:p>
      <w:pPr>
        <w:ind w:left="1292" w:right="60" w:hanging="648"/>
        <w:spacing w:after="0" w:line="297" w:lineRule="auto"/>
        <w:rPr>
          <w:rFonts w:ascii="Arial" w:cs="Arial" w:eastAsia="Arial" w:hAnsi="Arial"/>
          <w:sz w:val="18"/>
          <w:szCs w:val="18"/>
          <w:color w:val="auto"/>
        </w:rPr>
      </w:pPr>
      <w:r>
        <w:rPr>
          <w:rFonts w:ascii="Arial" w:cs="Arial" w:eastAsia="Arial" w:hAnsi="Arial"/>
          <w:sz w:val="16"/>
          <w:szCs w:val="16"/>
          <w:color w:val="auto"/>
        </w:rPr>
        <w:t>13.1 Force Majeure, which includes but is not limited to acts of governments, acts of nature, fires, explosions, typhoons, floods, earthquakes, tides, lightning or war, means any unforeseen event that is beyond the party’s reasonable control and cannot be prevented with reasonable care of the affected party. However, any insufficiency of creditworthiness, capital or financing shall not be regarded as an event beyond the party’s reasonable control. The party affected by Force Majeure and seeking exemption from performing the obligations under this Agreement shall inform the other party of such exemption and any action taken by it for performing this Agreement.</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hanging="647"/>
        <w:spacing w:after="0" w:line="257" w:lineRule="auto"/>
        <w:tabs>
          <w:tab w:leader="none" w:pos="12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In the event that the affected party is delayed in or prevented from performing its obligations under this Agreement by Force Majeure, and only to the extent of such delay or prevention, the affected party shall not be liable for the obligations under this Agreement. The affected party shall take appropriate measures to minimize or remove the effects of Force Majeure and attempt to resume the performance of the obligations delayed or prevented by the event of Force Majeure. Once the event of Force Majeure is removed, both parties agree to resume the performance of this Agreement using their best efforts.</w:t>
      </w:r>
    </w:p>
    <w:p>
      <w:pPr>
        <w:spacing w:after="0" w:line="188" w:lineRule="exact"/>
        <w:rPr>
          <w:sz w:val="20"/>
          <w:szCs w:val="20"/>
          <w:color w:val="auto"/>
        </w:rPr>
      </w:pPr>
    </w:p>
    <w:p>
      <w:pPr>
        <w:ind w:left="652" w:hanging="652"/>
        <w:spacing w:after="0"/>
        <w:tabs>
          <w:tab w:leader="none" w:pos="6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1292" w:right="40" w:hanging="648"/>
        <w:spacing w:after="0" w:line="286" w:lineRule="auto"/>
        <w:rPr>
          <w:rFonts w:ascii="Arial" w:cs="Arial" w:eastAsia="Arial" w:hAnsi="Arial"/>
          <w:sz w:val="18"/>
          <w:szCs w:val="18"/>
          <w:color w:val="auto"/>
        </w:rPr>
      </w:pPr>
      <w:r>
        <w:rPr>
          <w:rFonts w:ascii="Arial" w:cs="Arial" w:eastAsia="Arial" w:hAnsi="Arial"/>
          <w:sz w:val="16"/>
          <w:szCs w:val="16"/>
          <w:color w:val="auto"/>
        </w:rPr>
        <w:t>14.1 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party except in the following situations: (a) such materials are or will become known by the public (through no fault of the receiving party); (b) any materials as required to be disclosed by the applicable laws or rules of any stock exchange or governmental entity; and</w:t>
      </w:r>
    </w:p>
    <w:p>
      <w:pPr>
        <w:spacing w:after="0" w:line="1" w:lineRule="exact"/>
        <w:rPr>
          <w:rFonts w:ascii="Arial" w:cs="Arial" w:eastAsia="Arial" w:hAnsi="Arial"/>
          <w:sz w:val="18"/>
          <w:szCs w:val="18"/>
          <w:color w:val="auto"/>
        </w:rPr>
      </w:pPr>
    </w:p>
    <w:p>
      <w:pPr>
        <w:jc w:val="both"/>
        <w:ind w:left="1292" w:right="140" w:firstLine="5"/>
        <w:spacing w:after="0" w:line="254" w:lineRule="auto"/>
        <w:tabs>
          <w:tab w:leader="none" w:pos="153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materials disclosed by each party to its legal or financial advisors relating to the transactions contemplated by this Agreement, and such legal or financial advisors shall comply with the confidentiality provisions set forth in this Article 14. Any disclosure of confidential information by the personnel of any party or by the institutions engaged by such party shall be deemed as a disclosure by such party, and such party shall be liable for the breach under this Agreement.</w:t>
      </w:r>
    </w:p>
    <w:p>
      <w:pPr>
        <w:spacing w:after="0" w:line="19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Both parties agree that this Article 14 shall survive the invalidity, cancellation, termination or unenforceability of this Agreement.</w:t>
      </w:r>
    </w:p>
    <w:p>
      <w:pPr>
        <w:spacing w:after="0" w:line="225" w:lineRule="exact"/>
        <w:rPr>
          <w:sz w:val="20"/>
          <w:szCs w:val="20"/>
          <w:color w:val="auto"/>
        </w:rPr>
      </w:pPr>
    </w:p>
    <w:p>
      <w:pPr>
        <w:ind w:left="652" w:hanging="652"/>
        <w:spacing w:after="0"/>
        <w:tabs>
          <w:tab w:leader="none" w:pos="6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292" w:hanging="648"/>
        <w:spacing w:after="0" w:line="277" w:lineRule="auto"/>
        <w:rPr>
          <w:rFonts w:ascii="Arial" w:cs="Arial" w:eastAsia="Arial" w:hAnsi="Arial"/>
          <w:sz w:val="18"/>
          <w:szCs w:val="18"/>
          <w:color w:val="auto"/>
        </w:rPr>
      </w:pPr>
      <w:r>
        <w:rPr>
          <w:rFonts w:ascii="Arial" w:cs="Arial" w:eastAsia="Arial" w:hAnsi="Arial"/>
          <w:sz w:val="18"/>
          <w:szCs w:val="18"/>
          <w:color w:val="auto"/>
        </w:rPr>
        <w:t>15.1 The formation, validity, interpretation and performance of and settlement of disputes under this Agreement shall be governed by the laws of the PRC.</w:t>
      </w:r>
    </w:p>
    <w:p>
      <w:pPr>
        <w:spacing w:after="0" w:line="170" w:lineRule="exact"/>
        <w:rPr>
          <w:rFonts w:ascii="Arial" w:cs="Arial" w:eastAsia="Arial" w:hAnsi="Arial"/>
          <w:sz w:val="18"/>
          <w:szCs w:val="18"/>
          <w:color w:val="auto"/>
        </w:rPr>
      </w:pPr>
    </w:p>
    <w:p>
      <w:pPr>
        <w:ind w:left="1292" w:right="40" w:hanging="648"/>
        <w:spacing w:after="0" w:line="257" w:lineRule="auto"/>
        <w:rPr>
          <w:rFonts w:ascii="Arial" w:cs="Arial" w:eastAsia="Arial" w:hAnsi="Arial"/>
          <w:sz w:val="18"/>
          <w:szCs w:val="18"/>
          <w:color w:val="auto"/>
        </w:rPr>
      </w:pPr>
      <w:r>
        <w:rPr>
          <w:rFonts w:ascii="Arial" w:cs="Arial" w:eastAsia="Arial" w:hAnsi="Arial"/>
          <w:sz w:val="18"/>
          <w:szCs w:val="18"/>
          <w:color w:val="auto"/>
        </w:rPr>
        <w:t>15.2 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Notice</w:t>
      </w:r>
    </w:p>
    <w:p>
      <w:pPr>
        <w:spacing w:after="0" w:line="225" w:lineRule="exact"/>
        <w:rPr>
          <w:rFonts w:ascii="Arial" w:cs="Arial" w:eastAsia="Arial" w:hAnsi="Arial"/>
          <w:sz w:val="18"/>
          <w:szCs w:val="18"/>
          <w:color w:val="auto"/>
        </w:rPr>
      </w:pPr>
    </w:p>
    <w:p>
      <w:pPr>
        <w:ind w:left="652" w:right="220"/>
        <w:spacing w:after="0" w:line="297" w:lineRule="auto"/>
        <w:rPr>
          <w:rFonts w:ascii="Arial" w:cs="Arial" w:eastAsia="Arial" w:hAnsi="Arial"/>
          <w:sz w:val="18"/>
          <w:szCs w:val="18"/>
          <w:color w:val="auto"/>
        </w:rPr>
      </w:pPr>
      <w:r>
        <w:rPr>
          <w:rFonts w:ascii="Arial" w:cs="Arial" w:eastAsia="Arial" w:hAnsi="Arial"/>
          <w:sz w:val="16"/>
          <w:szCs w:val="16"/>
          <w:color w:val="auto"/>
        </w:rPr>
        <w:t>Any notice which is given by the parties hereto for the purpose of performing the rights and obligations hereunder shall be in writing. Where such notice is delivered personally, the time of notice is the time when such notice actually reaches the addressee; where such notice is transmitted by telex or facsimile, the notice time is the time when such notice is transmitted. If such notice does not reach the addressee on a business day or reaches the addressee after business hours, the next business day following such day is the date of notice. The delivery place is the address first written above for each of the parties hereto or the address advised by such party in writing, including facsimile and telex, from time to time.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Entire Contract</w:t>
      </w:r>
    </w:p>
    <w:p>
      <w:pPr>
        <w:spacing w:after="0" w:line="225" w:lineRule="exact"/>
        <w:rPr>
          <w:rFonts w:ascii="Arial" w:cs="Arial" w:eastAsia="Arial" w:hAnsi="Arial"/>
          <w:sz w:val="18"/>
          <w:szCs w:val="18"/>
          <w:color w:val="auto"/>
        </w:rPr>
      </w:pPr>
    </w:p>
    <w:p>
      <w:pPr>
        <w:ind w:left="652" w:right="160"/>
        <w:spacing w:after="0" w:line="264" w:lineRule="auto"/>
        <w:rPr>
          <w:rFonts w:ascii="Arial" w:cs="Arial" w:eastAsia="Arial" w:hAnsi="Arial"/>
          <w:sz w:val="18"/>
          <w:szCs w:val="18"/>
          <w:color w:val="auto"/>
        </w:rPr>
      </w:pPr>
      <w:r>
        <w:rPr>
          <w:rFonts w:ascii="Arial" w:cs="Arial" w:eastAsia="Arial" w:hAnsi="Arial"/>
          <w:sz w:val="18"/>
          <w:szCs w:val="18"/>
          <w:color w:val="auto"/>
        </w:rPr>
        <w:t>The parties agree that this Agreement and the Principal Agreements referenced herein constitute the entire agreement of the parties hereto with respect to the subject matters herein upon its effectiveness and supersedes and replaces all prior oral and/or written agreements and understandings relating to the subject matters of this Agreement.</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Severability</w:t>
      </w:r>
    </w:p>
    <w:p>
      <w:pPr>
        <w:sectPr>
          <w:pgSz w:w="11900" w:h="16838" w:orient="portrait"/>
          <w:cols w:equalWidth="0" w:num="1">
            <w:col w:w="11372"/>
          </w:cols>
          <w:pgMar w:left="248" w:top="125" w:right="279" w:bottom="32" w:gutter="0" w:footer="0" w:header="0"/>
        </w:sectPr>
      </w:pPr>
    </w:p>
    <w:bookmarkStart w:id="126" w:name="page127"/>
    <w:bookmarkEnd w:id="126"/>
    <w:p>
      <w:pPr>
        <w:ind w:left="660" w:right="240"/>
        <w:spacing w:after="0" w:line="264" w:lineRule="auto"/>
        <w:rPr>
          <w:sz w:val="20"/>
          <w:szCs w:val="20"/>
          <w:color w:val="auto"/>
        </w:rPr>
      </w:pPr>
      <w:r>
        <w:rPr>
          <w:rFonts w:ascii="Arial" w:cs="Arial" w:eastAsia="Arial" w:hAnsi="Arial"/>
          <w:sz w:val="18"/>
          <w:szCs w:val="18"/>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81"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Appendices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appendices to this Agreement shall constitute an integral part of this Agreement.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Amendment or Supplement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20.1    The parties may amend or supplement this Agreement by written agreement. The amendments or supplements to this Agreement duly</w:t>
      </w:r>
    </w:p>
    <w:p>
      <w:pPr>
        <w:spacing w:after="0" w:line="4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executed by both parties shall form an integral part of this Agreement and shall have the same legal effect as this Agreement.</w:t>
      </w:r>
    </w:p>
    <w:p>
      <w:pPr>
        <w:spacing w:after="0" w:line="222" w:lineRule="exact"/>
        <w:rPr>
          <w:rFonts w:ascii="Arial" w:cs="Arial" w:eastAsia="Arial" w:hAnsi="Arial"/>
          <w:sz w:val="18"/>
          <w:szCs w:val="18"/>
          <w:color w:val="auto"/>
        </w:rPr>
      </w:pPr>
    </w:p>
    <w:p>
      <w:pPr>
        <w:ind w:left="1300" w:right="180" w:hanging="648"/>
        <w:spacing w:after="0" w:line="277" w:lineRule="auto"/>
        <w:rPr>
          <w:rFonts w:ascii="Arial" w:cs="Arial" w:eastAsia="Arial" w:hAnsi="Arial"/>
          <w:sz w:val="18"/>
          <w:szCs w:val="18"/>
          <w:color w:val="auto"/>
        </w:rPr>
      </w:pPr>
      <w:r>
        <w:rPr>
          <w:rFonts w:ascii="Arial" w:cs="Arial" w:eastAsia="Arial" w:hAnsi="Arial"/>
          <w:sz w:val="18"/>
          <w:szCs w:val="18"/>
          <w:color w:val="auto"/>
        </w:rPr>
        <w:t>20.2 This Agreement and any amendments, modifications, supplements, additions or changes hereto shall be in writing and shall be effective upon being executed and sealed by the parties hereto.</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This Agreement is executed in English in duplicate, with each party hereto holding one copy. Both originals have the same legal effect.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 text below on this page]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(Hangzhou) Network Co., Ltd. (seal)</w:t>
      </w:r>
    </w:p>
    <w:p>
      <w:pPr>
        <w:spacing w:after="0" w:line="229"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Legal Representative/Authorized Representative:</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9297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 Zhipeng</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Hu Zhipeng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9756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of Power of Attorney</w:t>
      </w:r>
    </w:p>
    <w:p>
      <w:pPr>
        <w:spacing w:after="0" w:line="211" w:lineRule="exact"/>
        <w:rPr>
          <w:sz w:val="20"/>
          <w:szCs w:val="20"/>
          <w:color w:val="auto"/>
        </w:rPr>
      </w:pPr>
    </w:p>
    <w:p>
      <w:pPr>
        <w:ind w:right="120" w:firstLine="728"/>
        <w:spacing w:after="0" w:line="264" w:lineRule="auto"/>
        <w:tabs>
          <w:tab w:leader="none" w:pos="94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hereby irrevocably appoint _______________________________, holder of [passport / PRC identification] number : ________________, as [my] proxy, to sign and deliver any and all legal documents that are necessary or useful to enforce or effect the purpose of the Equity Pledge Agreement between [</w:t>
      </w:r>
      <w:r>
        <w:rPr>
          <w:rFonts w:ascii="Arial" w:cs="Arial" w:eastAsia="Arial" w:hAnsi="Arial"/>
          <w:sz w:val="18"/>
          <w:szCs w:val="18"/>
          <w:i w:val="1"/>
          <w:iCs w:val="1"/>
          <w:color w:val="auto"/>
        </w:rPr>
        <w:t>NetEase (Hangzhou) Network Co., Ltd.</w:t>
      </w:r>
      <w:r>
        <w:rPr>
          <w:rFonts w:ascii="Arial" w:cs="Arial" w:eastAsia="Arial" w:hAnsi="Arial"/>
          <w:sz w:val="18"/>
          <w:szCs w:val="18"/>
          <w:color w:val="auto"/>
        </w:rPr>
        <w:t>] and [me] executed on [</w:t>
      </w:r>
      <w:r>
        <w:rPr>
          <w:rFonts w:ascii="Arial" w:cs="Arial" w:eastAsia="Arial" w:hAnsi="Arial"/>
          <w:sz w:val="18"/>
          <w:szCs w:val="18"/>
          <w:i w:val="1"/>
          <w:iCs w:val="1"/>
          <w:color w:val="auto"/>
        </w:rPr>
        <w:t>date of agreement</w:t>
      </w:r>
      <w:r>
        <w:rPr>
          <w:rFonts w:ascii="Arial" w:cs="Arial" w:eastAsia="Arial" w:hAnsi="Arial"/>
          <w:sz w:val="18"/>
          <w:szCs w:val="18"/>
          <w:color w:val="auto"/>
        </w:rPr>
        <w:t>].</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Hu Zhipeng</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of Transfer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Transfer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jointly signed by the Parties on _________ at the offices of [</w:t>
      </w:r>
      <w:r>
        <w:rPr>
          <w:rFonts w:ascii="Arial" w:cs="Arial" w:eastAsia="Arial" w:hAnsi="Arial"/>
          <w:sz w:val="16"/>
          <w:szCs w:val="16"/>
          <w:i w:val="1"/>
          <w:iCs w:val="1"/>
          <w:color w:val="auto"/>
        </w:rPr>
        <w:t>Hangzhou Leihuo Network Co., Ltd.</w:t>
      </w:r>
      <w:r>
        <w:rPr>
          <w:rFonts w:ascii="Arial" w:cs="Arial" w:eastAsia="Arial" w:hAnsi="Arial"/>
          <w:sz w:val="16"/>
          <w:szCs w:val="16"/>
          <w:color w:val="auto"/>
        </w:rPr>
        <w: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ectPr>
          <w:pgSz w:w="11900" w:h="16838" w:orient="portrait"/>
          <w:cols w:equalWidth="0" w:num="1">
            <w:col w:w="11260"/>
          </w:cols>
          <w:pgMar w:left="240" w:top="125" w:right="3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Transferor: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Pledgor — Hu Zhipeng</w:t>
      </w:r>
      <w:r>
        <w:rPr>
          <w:rFonts w:ascii="Arial" w:cs="Arial" w:eastAsia="Arial" w:hAnsi="Arial"/>
          <w:sz w:val="18"/>
          <w:szCs w:val="18"/>
          <w:color w:val="auto"/>
        </w:rPr>
        <w:t>]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Pledgee</w:t>
      </w:r>
      <w:r>
        <w:rPr>
          <w:rFonts w:ascii="Arial" w:cs="Arial" w:eastAsia="Arial" w:hAnsi="Arial"/>
          <w:sz w:val="16"/>
          <w:szCs w:val="16"/>
          <w:color w:val="auto"/>
        </w:rPr>
        <w:t xml:space="preserve"> - </w:t>
      </w:r>
      <w:r>
        <w:rPr>
          <w:rFonts w:ascii="Arial" w:cs="Arial" w:eastAsia="Arial" w:hAnsi="Arial"/>
          <w:sz w:val="16"/>
          <w:szCs w:val="16"/>
          <w:i w:val="1"/>
          <w:iCs w:val="1"/>
          <w:color w:val="auto"/>
        </w:rPr>
        <w:t>NetEase (Hangzhou Network Co., Ltd. or designated person</w:t>
      </w:r>
      <w:r>
        <w:rPr>
          <w:rFonts w:ascii="Arial" w:cs="Arial" w:eastAsia="Arial" w:hAnsi="Arial"/>
          <w:sz w:val="16"/>
          <w:szCs w:val="16"/>
          <w:color w:val="auto"/>
        </w:rPr>
        <w:t>] (“</w:t>
      </w:r>
      <w:r>
        <w:rPr>
          <w:rFonts w:ascii="Arial" w:cs="Arial" w:eastAsia="Arial" w:hAnsi="Arial"/>
          <w:sz w:val="16"/>
          <w:szCs w:val="16"/>
          <w:b w:val="1"/>
          <w:bCs w:val="1"/>
          <w:i w:val="1"/>
          <w:iCs w:val="1"/>
          <w:color w:val="auto"/>
        </w:rPr>
        <w:t>Party B</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820" w:space="680"/>
            <w:col w:w="9760"/>
          </w:cols>
          <w:pgMar w:left="240" w:top="125" w:right="39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capital of the Company is [RMB __________], of which Party A contributed [RMB ___________], representing [___%]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registered capital of the Company. According to the relevant laws, rules and regulations, upon friendly negotiations between the Parties, and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Equity Pledge Agreement entered into between the Parties on [</w:t>
      </w:r>
      <w:r>
        <w:rPr>
          <w:rFonts w:ascii="Arial" w:cs="Arial" w:eastAsia="Arial" w:hAnsi="Arial"/>
          <w:sz w:val="17"/>
          <w:szCs w:val="17"/>
          <w:i w:val="1"/>
          <w:iCs w:val="1"/>
          <w:color w:val="auto"/>
        </w:rPr>
        <w:t>April 15, 2009</w:t>
      </w:r>
      <w:r>
        <w:rPr>
          <w:rFonts w:ascii="Arial" w:cs="Arial" w:eastAsia="Arial" w:hAnsi="Arial"/>
          <w:sz w:val="17"/>
          <w:szCs w:val="17"/>
          <w:color w:val="auto"/>
        </w:rPr>
        <w:t>] (the “</w:t>
      </w:r>
      <w:r>
        <w:rPr>
          <w:rFonts w:ascii="Arial" w:cs="Arial" w:eastAsia="Arial" w:hAnsi="Arial"/>
          <w:sz w:val="17"/>
          <w:szCs w:val="17"/>
          <w:b w:val="1"/>
          <w:bCs w:val="1"/>
          <w:i w:val="1"/>
          <w:iCs w:val="1"/>
          <w:color w:val="auto"/>
        </w:rPr>
        <w:t>Equity Pledge Agreement</w:t>
      </w:r>
      <w:r>
        <w:rPr>
          <w:rFonts w:ascii="Arial" w:cs="Arial" w:eastAsia="Arial" w:hAnsi="Arial"/>
          <w:sz w:val="17"/>
          <w:szCs w:val="17"/>
          <w:color w:val="auto"/>
        </w:rPr>
        <w:t>”), the Parties agree to the following:</w:t>
      </w:r>
    </w:p>
    <w:p>
      <w:pPr>
        <w:sectPr>
          <w:pgSz w:w="11900" w:h="16838" w:orient="portrait"/>
          <w:cols w:equalWidth="0" w:num="1">
            <w:col w:w="11260"/>
          </w:cols>
          <w:pgMar w:left="240" w:top="125" w:right="399"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color w:val="auto"/>
        </w:rPr>
        <w:t>Article 1. Subject of Transfer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Party A shall transfer to _______________________________ all of Party A’s equity interest in the Company (the “</w:t>
      </w:r>
      <w:r>
        <w:rPr>
          <w:rFonts w:ascii="Arial" w:cs="Arial" w:eastAsia="Arial" w:hAnsi="Arial"/>
          <w:sz w:val="16"/>
          <w:szCs w:val="16"/>
          <w:b w:val="1"/>
          <w:bCs w:val="1"/>
          <w:i w:val="1"/>
          <w:iCs w:val="1"/>
          <w:color w:val="auto"/>
        </w:rPr>
        <w:t>Transferred Interest</w:t>
      </w:r>
      <w:r>
        <w:rPr>
          <w:rFonts w:ascii="Arial" w:cs="Arial" w:eastAsia="Arial" w:hAnsi="Arial"/>
          <w:sz w:val="16"/>
          <w:szCs w:val="16"/>
          <w:color w:val="auto"/>
        </w:rPr>
        <w:t>”)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terms of the Equity Pledge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Agreement shall be subject to the relevant laws of the People’s Republic of China and the interpretations thereof. Any dispute arising from or in connection with this Agreement shall be resolved by the dispute resolution mechanism in the Equity Pledge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380"/>
          </w:cols>
          <w:pgMar w:left="240" w:top="341" w:right="27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Hu Zhipeng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202" w:lineRule="exact"/>
        <w:rPr>
          <w:sz w:val="20"/>
          <w:szCs w:val="20"/>
          <w:color w:val="auto"/>
        </w:rPr>
      </w:pPr>
    </w:p>
    <w:p>
      <w:pPr>
        <w:sectPr>
          <w:pgSz w:w="11900" w:h="16838" w:orient="portrait"/>
          <w:cols w:equalWidth="0" w:num="2">
            <w:col w:w="1740" w:space="520"/>
            <w:col w:w="9120"/>
          </w:cols>
          <w:pgMar w:left="240" w:top="341" w:right="27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0" w:lineRule="exact"/>
        <w:rPr>
          <w:sz w:val="20"/>
          <w:szCs w:val="20"/>
          <w:color w:val="auto"/>
        </w:rPr>
      </w:pPr>
    </w:p>
    <w:p>
      <w:pPr>
        <w:sectPr>
          <w:pgSz w:w="11900" w:h="16838" w:orient="portrait"/>
          <w:cols w:equalWidth="0" w:num="2">
            <w:col w:w="1420" w:space="520"/>
            <w:col w:w="9440"/>
          </w:cols>
          <w:pgMar w:left="240" w:top="341" w:right="279" w:bottom="1440" w:gutter="0" w:footer="0" w:header="0"/>
          <w:type w:val="continuous"/>
        </w:sectPr>
      </w:pPr>
    </w:p>
    <w:p>
      <w:pPr>
        <w:spacing w:after="0" w:line="264" w:lineRule="exact"/>
        <w:rPr>
          <w:sz w:val="20"/>
          <w:szCs w:val="20"/>
          <w:color w:val="auto"/>
        </w:rPr>
      </w:pPr>
    </w:p>
    <w:p>
      <w:pPr>
        <w:ind w:left="5720"/>
        <w:spacing w:after="0"/>
        <w:tabs>
          <w:tab w:leader="none" w:pos="71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Equity Pledge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in Hangzhou on </w:t>
      </w:r>
      <w:r>
        <w:rPr>
          <w:rFonts w:ascii="Arial" w:cs="Arial" w:eastAsia="Arial" w:hAnsi="Arial"/>
          <w:sz w:val="18"/>
          <w:szCs w:val="18"/>
          <w:b w:val="1"/>
          <w:bCs w:val="1"/>
          <w:color w:val="auto"/>
        </w:rPr>
        <w:t>April 15, 2009</w:t>
      </w:r>
      <w:r>
        <w:rPr>
          <w:rFonts w:ascii="Arial" w:cs="Arial" w:eastAsia="Arial" w:hAnsi="Arial"/>
          <w:sz w:val="18"/>
          <w:szCs w:val="18"/>
          <w:color w:val="auto"/>
        </w:rPr>
        <w:t xml:space="preserve"> by the following parties:</w:t>
      </w:r>
    </w:p>
    <w:p>
      <w:pPr>
        <w:sectPr>
          <w:pgSz w:w="11900" w:h="16838" w:orient="portrait"/>
          <w:cols w:equalWidth="0" w:num="1">
            <w:col w:w="11420"/>
          </w:cols>
          <w:pgMar w:left="240" w:top="121" w:right="239" w:bottom="63"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Pledgee: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NetEase (Hangzhou) Network Co., Ltd.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Legal Address: Room 103-105, 1/F, Building 18, No.1 Jiaogong Road. Hangzhou, Zhejiang Province, P. R. China</w:t>
      </w:r>
    </w:p>
    <w:p>
      <w:pPr>
        <w:spacing w:after="0" w:line="200" w:lineRule="exact"/>
        <w:rPr>
          <w:sz w:val="20"/>
          <w:szCs w:val="20"/>
          <w:color w:val="auto"/>
        </w:rPr>
      </w:pPr>
    </w:p>
    <w:p>
      <w:pPr>
        <w:sectPr>
          <w:pgSz w:w="11900" w:h="16838" w:orient="portrait"/>
          <w:cols w:equalWidth="0" w:num="2">
            <w:col w:w="680" w:space="620"/>
            <w:col w:w="10120"/>
          </w:cols>
          <w:pgMar w:left="240" w:top="121" w:right="239" w:bottom="63"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Pledgor: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Chen Gang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ID card No.: 330106197310300431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Legal Address: No.38 Zheda Road, West Lake District, Hangzhou, Zhejiang Province, P. R. China</w:t>
      </w:r>
    </w:p>
    <w:p>
      <w:pPr>
        <w:spacing w:after="0" w:line="200" w:lineRule="exact"/>
        <w:rPr>
          <w:sz w:val="20"/>
          <w:szCs w:val="20"/>
          <w:color w:val="auto"/>
        </w:rPr>
      </w:pPr>
    </w:p>
    <w:p>
      <w:pPr>
        <w:sectPr>
          <w:pgSz w:w="11900" w:h="16838" w:orient="portrait"/>
          <w:cols w:equalWidth="0" w:num="2">
            <w:col w:w="660" w:space="640"/>
            <w:col w:w="10120"/>
          </w:cols>
          <w:pgMar w:left="240" w:top="121" w:right="239" w:bottom="63"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Party A (the “</w:t>
      </w:r>
      <w:r>
        <w:rPr>
          <w:rFonts w:ascii="Arial" w:cs="Arial" w:eastAsia="Arial" w:hAnsi="Arial"/>
          <w:sz w:val="18"/>
          <w:szCs w:val="18"/>
          <w:b w:val="1"/>
          <w:bCs w:val="1"/>
          <w:i w:val="1"/>
          <w:iCs w:val="1"/>
          <w:color w:val="auto"/>
        </w:rPr>
        <w:t>Pledgee</w:t>
      </w:r>
      <w:r>
        <w:rPr>
          <w:rFonts w:ascii="Arial" w:cs="Arial" w:eastAsia="Arial" w:hAnsi="Arial"/>
          <w:sz w:val="18"/>
          <w:szCs w:val="18"/>
          <w:color w:val="auto"/>
        </w:rPr>
        <w:t>”) is a wholly foreign-owned enterprise registered in Hangzhou,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Party B (the “</w:t>
      </w:r>
      <w:r>
        <w:rPr>
          <w:rFonts w:ascii="Arial" w:cs="Arial" w:eastAsia="Arial" w:hAnsi="Arial"/>
          <w:sz w:val="18"/>
          <w:szCs w:val="18"/>
          <w:b w:val="1"/>
          <w:bCs w:val="1"/>
          <w:i w:val="1"/>
          <w:iCs w:val="1"/>
          <w:color w:val="auto"/>
        </w:rPr>
        <w:t>Pledgor</w:t>
      </w:r>
      <w:r>
        <w:rPr>
          <w:rFonts w:ascii="Arial" w:cs="Arial" w:eastAsia="Arial" w:hAnsi="Arial"/>
          <w:sz w:val="18"/>
          <w:szCs w:val="18"/>
          <w:color w:val="auto"/>
        </w:rPr>
        <w:t xml:space="preserve">”) is a citizen of the PRC. The Pledgor owns </w:t>
      </w:r>
      <w:r>
        <w:rPr>
          <w:rFonts w:ascii="Arial" w:cs="Arial" w:eastAsia="Arial" w:hAnsi="Arial"/>
          <w:sz w:val="18"/>
          <w:szCs w:val="18"/>
          <w:u w:val="single" w:color="auto"/>
          <w:color w:val="auto"/>
        </w:rPr>
        <w:t>50</w:t>
      </w:r>
      <w:r>
        <w:rPr>
          <w:rFonts w:ascii="Arial" w:cs="Arial" w:eastAsia="Arial" w:hAnsi="Arial"/>
          <w:sz w:val="18"/>
          <w:szCs w:val="18"/>
          <w:color w:val="auto"/>
        </w:rPr>
        <w:t>% of the equity interest in Hangzhou Leihuo Network Co., Ltd., a limited liability company registered in Hangzhou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40" w:hanging="652"/>
        <w:spacing w:after="0" w:line="257"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Party A made a loan in the amount of RMB 5,000,000 (hereinafter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to Party B and the parties executed a loan agreement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on March 23, 2009. The term of the Loan is 20 years commencing from the date when Party B received the Loan. Party A and Party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also entered into other agreements on April 15, 2009 pursuant to which Party B has certain performance obligations, with such other agreements being: an exclusive purchase option agreement, a cooperation agreement, a proxy agreement and an operating agreement (the “</w:t>
      </w:r>
      <w:r>
        <w:rPr>
          <w:rFonts w:ascii="Arial" w:cs="Arial" w:eastAsia="Arial" w:hAnsi="Arial"/>
          <w:sz w:val="18"/>
          <w:szCs w:val="18"/>
          <w:b w:val="1"/>
          <w:bCs w:val="1"/>
          <w:i w:val="1"/>
          <w:i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 order to ensure that Party B will perform its obligations under the Loan Agreement and the Other Agreements, the Pledgor agrees to pledge all his/her equity interest in the Company as security for the performance of his/her obligations under the Loan Agreement and the Other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Unless otherwise provided in this Agreement, the following terms shall have the following meanings: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w:t>
      </w:r>
      <w:r>
        <w:rPr>
          <w:rFonts w:ascii="Arial" w:cs="Arial" w:eastAsia="Arial" w:hAnsi="Arial"/>
          <w:sz w:val="16"/>
          <w:szCs w:val="16"/>
          <w:b w:val="1"/>
          <w:bCs w:val="1"/>
          <w:i w:val="1"/>
          <w:iCs w:val="1"/>
          <w:color w:val="auto"/>
        </w:rPr>
        <w:t>Pledge</w:t>
      </w:r>
      <w:r>
        <w:rPr>
          <w:rFonts w:ascii="Arial" w:cs="Arial" w:eastAsia="Arial" w:hAnsi="Arial"/>
          <w:sz w:val="16"/>
          <w:szCs w:val="16"/>
          <w:color w:val="auto"/>
        </w:rPr>
        <w:t>”: refers to the full content of Article 2 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Equity Interest</w:t>
      </w:r>
      <w:r>
        <w:rPr>
          <w:rFonts w:ascii="Arial" w:cs="Arial" w:eastAsia="Arial" w:hAnsi="Arial"/>
          <w:sz w:val="16"/>
          <w:szCs w:val="16"/>
          <w:color w:val="auto"/>
        </w:rPr>
        <w:t>”: refers to all of the equity interest in the Company legally held by the Pledgor.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 of Pledge</w:t>
      </w:r>
      <w:r>
        <w:rPr>
          <w:rFonts w:ascii="Arial" w:cs="Arial" w:eastAsia="Arial" w:hAnsi="Arial"/>
          <w:sz w:val="16"/>
          <w:szCs w:val="16"/>
          <w:color w:val="auto"/>
        </w:rPr>
        <w:t>”: refers to the period provided for under Article 3.2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Principal Agreements</w:t>
      </w:r>
      <w:r>
        <w:rPr>
          <w:rFonts w:ascii="Arial" w:cs="Arial" w:eastAsia="Arial" w:hAnsi="Arial"/>
          <w:sz w:val="16"/>
          <w:szCs w:val="16"/>
          <w:color w:val="auto"/>
        </w:rPr>
        <w:t>”: refers to the Loan Agreement and the Other Agreements.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refers to any event listed in Article 7.1 hereunder.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Default</w:t>
      </w:r>
      <w:r>
        <w:rPr>
          <w:rFonts w:ascii="Arial" w:cs="Arial" w:eastAsia="Arial" w:hAnsi="Arial"/>
          <w:sz w:val="16"/>
          <w:szCs w:val="16"/>
          <w:color w:val="auto"/>
        </w:rPr>
        <w:t>”: refers to the notice of default issued by the Pledgee in accordance with this Agreement.</w:t>
      </w:r>
    </w:p>
    <w:p>
      <w:pPr>
        <w:spacing w:after="0" w:line="22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there is any conflict or ambiguity between this Agreement and any other equity pledge agreement entered into by the Parties in connection with registration with governmental authorities, this Agreement shall govern.</w:t>
      </w:r>
    </w:p>
    <w:p>
      <w:pPr>
        <w:spacing w:after="0" w:line="170" w:lineRule="exact"/>
        <w:rPr>
          <w:sz w:val="20"/>
          <w:szCs w:val="20"/>
          <w:color w:val="auto"/>
        </w:rPr>
      </w:pPr>
    </w:p>
    <w:p>
      <w:pPr>
        <w:ind w:left="660" w:hanging="652"/>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Pledge</w:t>
      </w:r>
    </w:p>
    <w:p>
      <w:pPr>
        <w:spacing w:after="0" w:line="225" w:lineRule="exact"/>
        <w:rPr>
          <w:rFonts w:ascii="Arial" w:cs="Arial" w:eastAsia="Arial" w:hAnsi="Arial"/>
          <w:sz w:val="18"/>
          <w:szCs w:val="18"/>
          <w:color w:val="auto"/>
        </w:rPr>
      </w:pPr>
    </w:p>
    <w:p>
      <w:pPr>
        <w:ind w:left="660" w:right="40"/>
        <w:spacing w:after="0" w:line="259" w:lineRule="auto"/>
        <w:rPr>
          <w:rFonts w:ascii="Arial" w:cs="Arial" w:eastAsia="Arial" w:hAnsi="Arial"/>
          <w:sz w:val="18"/>
          <w:szCs w:val="18"/>
          <w:color w:val="auto"/>
        </w:rPr>
      </w:pPr>
      <w:r>
        <w:rPr>
          <w:rFonts w:ascii="Arial" w:cs="Arial" w:eastAsia="Arial" w:hAnsi="Arial"/>
          <w:sz w:val="18"/>
          <w:szCs w:val="18"/>
          <w:color w:val="auto"/>
        </w:rPr>
        <w:t>The Pledgor agrees to pledge his/her Equity Interest in the Company to the Pledgee as security for his/her obligations under the Principal Agreements. The term “</w:t>
      </w:r>
      <w:r>
        <w:rPr>
          <w:rFonts w:ascii="Arial" w:cs="Arial" w:eastAsia="Arial" w:hAnsi="Arial"/>
          <w:sz w:val="18"/>
          <w:szCs w:val="18"/>
          <w:b w:val="1"/>
          <w:bCs w:val="1"/>
          <w:i w:val="1"/>
          <w:iCs w:val="1"/>
          <w:color w:val="auto"/>
        </w:rPr>
        <w:t>Pledge</w:t>
      </w:r>
      <w:r>
        <w:rPr>
          <w:rFonts w:ascii="Arial" w:cs="Arial" w:eastAsia="Arial" w:hAnsi="Arial"/>
          <w:sz w:val="18"/>
          <w:szCs w:val="18"/>
          <w:color w:val="auto"/>
        </w:rPr>
        <w:t>” under this Agreement refers to the right of the Pledgee to be entitled to priority in receiving payment in the form of the Equity Interest based on the conversion value thereof, or from the proceeds from the auction or sale of the Equity Interest pledged by the Pledgor to the Pledgee.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Term of Pledge</w:t>
      </w:r>
    </w:p>
    <w:p>
      <w:pPr>
        <w:spacing w:after="0" w:line="225" w:lineRule="exact"/>
        <w:rPr>
          <w:rFonts w:ascii="Arial" w:cs="Arial" w:eastAsia="Arial" w:hAnsi="Arial"/>
          <w:sz w:val="18"/>
          <w:szCs w:val="18"/>
          <w:color w:val="auto"/>
        </w:rPr>
      </w:pPr>
    </w:p>
    <w:p>
      <w:pPr>
        <w:ind w:left="1300" w:right="20" w:hanging="648"/>
        <w:spacing w:after="0" w:line="257" w:lineRule="auto"/>
        <w:rPr>
          <w:rFonts w:ascii="Arial" w:cs="Arial" w:eastAsia="Arial" w:hAnsi="Arial"/>
          <w:sz w:val="18"/>
          <w:szCs w:val="18"/>
          <w:color w:val="auto"/>
        </w:rPr>
      </w:pPr>
      <w:r>
        <w:rPr>
          <w:rFonts w:ascii="Arial" w:cs="Arial" w:eastAsia="Arial" w:hAnsi="Arial"/>
          <w:sz w:val="18"/>
          <w:szCs w:val="18"/>
          <w:color w:val="auto"/>
        </w:rPr>
        <w:t>3.1The Pledge shall take effect as of the date when the pledge of the Equity Interest is recorded in the Register of Shareholders of the Company and shall remain in effect until terminated under Article 11 hereunder. The parties agree that, if legally allowed, they will use their best efforts to register the Pledge with the Administration for Industry and Commerce at the place of registration of the Company. However, the parties confirm that the effectiveness of this Agreement is not subject to the registration unless the laws and regulations of the PRC provide otherwise.</w:t>
      </w:r>
    </w:p>
    <w:p>
      <w:pPr>
        <w:sectPr>
          <w:pgSz w:w="11900" w:h="16838" w:orient="portrait"/>
          <w:cols w:equalWidth="0" w:num="1">
            <w:col w:w="11420"/>
          </w:cols>
          <w:pgMar w:left="240" w:top="121" w:right="239" w:bottom="63" w:gutter="0" w:footer="0" w:header="0"/>
          <w:type w:val="continuous"/>
        </w:sectPr>
      </w:pPr>
    </w:p>
    <w:bookmarkStart w:id="129" w:name="page130"/>
    <w:bookmarkEnd w:id="129"/>
    <w:p>
      <w:pPr>
        <w:spacing w:after="0" w:line="90"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During the term of the Pledge, the Pledgee shall be entitled to dispose of the pledged assets in accordance with this Agreement in the event that the Pledgor does not perform his/her obligations under the Principal Agreement.</w:t>
      </w:r>
    </w:p>
    <w:p>
      <w:pPr>
        <w:spacing w:after="0" w:line="170" w:lineRule="exact"/>
        <w:rPr>
          <w:sz w:val="20"/>
          <w:szCs w:val="20"/>
          <w:color w:val="auto"/>
        </w:rPr>
      </w:pPr>
    </w:p>
    <w:p>
      <w:pPr>
        <w:ind w:left="652" w:hanging="652"/>
        <w:spacing w:after="0"/>
        <w:tabs>
          <w:tab w:leader="none" w:pos="6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Physical Possession of Documents</w:t>
      </w:r>
    </w:p>
    <w:p>
      <w:pPr>
        <w:spacing w:after="0" w:line="225" w:lineRule="exact"/>
        <w:rPr>
          <w:rFonts w:ascii="Arial" w:cs="Arial" w:eastAsia="Arial" w:hAnsi="Arial"/>
          <w:sz w:val="18"/>
          <w:szCs w:val="18"/>
          <w:color w:val="auto"/>
        </w:rPr>
      </w:pPr>
    </w:p>
    <w:p>
      <w:pPr>
        <w:ind w:left="1292" w:right="480" w:hanging="648"/>
        <w:spacing w:after="0" w:line="264" w:lineRule="auto"/>
        <w:rPr>
          <w:rFonts w:ascii="Arial" w:cs="Arial" w:eastAsia="Arial" w:hAnsi="Arial"/>
          <w:sz w:val="18"/>
          <w:szCs w:val="18"/>
          <w:color w:val="auto"/>
        </w:rPr>
      </w:pPr>
      <w:r>
        <w:rPr>
          <w:rFonts w:ascii="Arial" w:cs="Arial" w:eastAsia="Arial" w:hAnsi="Arial"/>
          <w:sz w:val="18"/>
          <w:szCs w:val="18"/>
          <w:color w:val="auto"/>
        </w:rPr>
        <w:t>4.1During the term of the Pledge under this Agreement, the Pledgor shall deliver the physical possession of his/her Certificate of Capital Contribution and the Register of Shareholders of the Company to the Pledgee within one (1) week from the execution date of this Agreement.</w:t>
      </w:r>
    </w:p>
    <w:p>
      <w:pPr>
        <w:spacing w:after="0" w:line="18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color w:val="auto"/>
        </w:rPr>
        <w:t>The Pledgee shall be entitled to collect the dividends for the Equity Interest.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Pledge under this Agreement will be recorded in the Register of Shareholders of the Company.</w:t>
      </w:r>
    </w:p>
    <w:p>
      <w:pPr>
        <w:spacing w:after="0" w:line="225" w:lineRule="exact"/>
        <w:rPr>
          <w:sz w:val="20"/>
          <w:szCs w:val="20"/>
          <w:color w:val="auto"/>
        </w:rPr>
      </w:pPr>
    </w:p>
    <w:p>
      <w:pPr>
        <w:ind w:left="652" w:hanging="652"/>
        <w:spacing w:after="0"/>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Representation and Warranty of the Pledgor</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The Pledgor is the legal owner of the Equity Interest pledged.</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Except for the benefit of the Pledgee, the Pledgor has not pledged the Equity Interest or created other encumbrance on the Equity Interest.</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Covenants of the Pledgor</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During the effective term of this Agreement, the Pledgor covenants to the Pledgee for its benefit that the Pledgor shall:</w:t>
      </w:r>
    </w:p>
    <w:p>
      <w:pPr>
        <w:spacing w:after="0" w:line="225" w:lineRule="exact"/>
        <w:rPr>
          <w:sz w:val="20"/>
          <w:szCs w:val="20"/>
          <w:color w:val="auto"/>
        </w:rPr>
      </w:pPr>
    </w:p>
    <w:p>
      <w:pPr>
        <w:ind w:left="1932" w:right="100" w:hanging="647"/>
        <w:spacing w:after="0" w:line="277" w:lineRule="auto"/>
        <w:tabs>
          <w:tab w:leader="none" w:pos="1912" w:val="left"/>
        </w:tabs>
        <w:rPr>
          <w:sz w:val="20"/>
          <w:szCs w:val="20"/>
          <w:color w:val="auto"/>
        </w:rPr>
      </w:pPr>
      <w:r>
        <w:rPr>
          <w:rFonts w:ascii="Arial" w:cs="Arial" w:eastAsia="Arial" w:hAnsi="Arial"/>
          <w:sz w:val="18"/>
          <w:szCs w:val="18"/>
          <w:color w:val="auto"/>
        </w:rPr>
        <w:t>6.1.1</w:t>
        <w:tab/>
        <w:t>Not transfer or assign the Equity Interest, create or permit the existence of any other pledges which may have an adverse effect on the rights or benefits of the Pledgee without prior written consent of the Pledgee;</w:t>
      </w:r>
    </w:p>
    <w:p>
      <w:pPr>
        <w:spacing w:after="0" w:line="170" w:lineRule="exact"/>
        <w:rPr>
          <w:sz w:val="20"/>
          <w:szCs w:val="20"/>
          <w:color w:val="auto"/>
        </w:rPr>
      </w:pPr>
    </w:p>
    <w:p>
      <w:pPr>
        <w:ind w:left="1932" w:right="60" w:hanging="647"/>
        <w:spacing w:after="0" w:line="279" w:lineRule="auto"/>
        <w:tabs>
          <w:tab w:leader="none" w:pos="191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color w:val="auto"/>
        </w:rPr>
        <w:t>Comply with laws and regulations with respect to the pledge of rights; present to the Pledgee the notices, orders or suggestions with respect to the Pledge issued or made by relevant government authorities within five (5) days upon receiving such notices, orders or suggestions; comply with such notices, orders or suggestions or, alternatively, at the reasonable request of the Pledgee or with consent from the Pledgee, raise objection to such notices, orders or suggestions;</w:t>
      </w:r>
    </w:p>
    <w:p>
      <w:pPr>
        <w:spacing w:after="0" w:line="171" w:lineRule="exact"/>
        <w:rPr>
          <w:sz w:val="20"/>
          <w:szCs w:val="20"/>
          <w:color w:val="auto"/>
        </w:rPr>
      </w:pPr>
    </w:p>
    <w:p>
      <w:pPr>
        <w:jc w:val="both"/>
        <w:ind w:left="1932" w:right="420" w:hanging="647"/>
        <w:spacing w:after="0" w:line="264" w:lineRule="auto"/>
        <w:tabs>
          <w:tab w:leader="none" w:pos="1912" w:val="left"/>
        </w:tabs>
        <w:rPr>
          <w:sz w:val="20"/>
          <w:szCs w:val="20"/>
          <w:color w:val="auto"/>
        </w:rPr>
      </w:pPr>
      <w:r>
        <w:rPr>
          <w:rFonts w:ascii="Arial" w:cs="Arial" w:eastAsia="Arial" w:hAnsi="Arial"/>
          <w:sz w:val="18"/>
          <w:szCs w:val="18"/>
          <w:color w:val="auto"/>
        </w:rPr>
        <w:t>6.1.3</w:t>
        <w:tab/>
        <w:t>Timely notify the Pledgee of any events or any notices received which may affect the Pledgor’s right to all or any part of the Equity Interest, and any events or any received notices which may change the Pledgor’s warranties and obligations under this Agreement or affect the Pledgor’s performance of its obligations under this Agreement.</w:t>
      </w:r>
    </w:p>
    <w:p>
      <w:pPr>
        <w:spacing w:after="0" w:line="181" w:lineRule="exact"/>
        <w:rPr>
          <w:sz w:val="20"/>
          <w:szCs w:val="20"/>
          <w:color w:val="auto"/>
        </w:rPr>
      </w:pPr>
    </w:p>
    <w:p>
      <w:pPr>
        <w:ind w:left="1292" w:right="340" w:hanging="647"/>
        <w:spacing w:after="0" w:line="342" w:lineRule="auto"/>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Pledgor agrees that the Pledgee’s right to the Pledge obtained from this Agreement shall not be suspended or inhibited by any legal procedure initiated by the Pledgor or any successors of the Pledgor or any person authorized by the Pledgor or any other person.</w:t>
      </w:r>
    </w:p>
    <w:p>
      <w:pPr>
        <w:spacing w:after="0" w:line="124" w:lineRule="exact"/>
        <w:rPr>
          <w:sz w:val="20"/>
          <w:szCs w:val="20"/>
          <w:color w:val="auto"/>
        </w:rPr>
      </w:pPr>
    </w:p>
    <w:p>
      <w:pPr>
        <w:ind w:left="1292" w:right="40" w:hanging="647"/>
        <w:spacing w:after="0" w:line="293" w:lineRule="auto"/>
        <w:tabs>
          <w:tab w:leader="none" w:pos="12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Pledgor promises to the Pledgee that in order to protect or perfect the security for the payment of the Loan, the Pledgor shall execute in good faith and cause other parties who have interests in the Pledge to execute, all title certificates and contracts, and/or perform any other actions (and cause other parties who have interests to take actions) as required by the Pledgee and facilitate the exercise of the rights and authority granted to the Pledgee under this Agreement. The Pledgor also promises to execute (i) a power of attorney in the form of Exhibit A to appoint any party designated by Party A as the Pledgor’s proxy for executing legal documents that are necessary or useful for effecting this Agreement and (ii) a transfer agreement in the form of Exhibit B to transfer his/her Equity Interest.</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right="20" w:hanging="647"/>
        <w:spacing w:after="0" w:line="286" w:lineRule="auto"/>
        <w:tabs>
          <w:tab w:leader="none" w:pos="12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The Pledgor promises to the Pledgee that he/she will execute all amendment documents (if applicable and necessary) in connection with the certificate of the Equity Interest with the Pledgee or its designated person (being a natural person or a legal entity) and, within a reasonable period, provide to the Pledgee all notices, orders and decisions about the Pledge as the Pledgee deems necessary.</w:t>
      </w:r>
    </w:p>
    <w:p>
      <w:pPr>
        <w:spacing w:after="0" w:line="166" w:lineRule="exact"/>
        <w:rPr>
          <w:sz w:val="20"/>
          <w:szCs w:val="20"/>
          <w:color w:val="auto"/>
        </w:rPr>
      </w:pPr>
    </w:p>
    <w:p>
      <w:pPr>
        <w:ind w:left="1292" w:hanging="647"/>
        <w:spacing w:after="0" w:line="312" w:lineRule="auto"/>
        <w:tabs>
          <w:tab w:leader="none" w:pos="127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The Pledgor promises to the Pledgee that he/she will comply with and perform all the guarantees, covenants, warranties, representations and conditions for the benefit of the Pledgee. The Pledgor shall compensate the Pledgee for all losses suffered by the Pledgee because of the Pledgor’s failure to perform in whole or in part its guarantees, covenants, warranties, representations and conditions.</w:t>
      </w:r>
    </w:p>
    <w:p>
      <w:pPr>
        <w:spacing w:after="0" w:line="147" w:lineRule="exact"/>
        <w:rPr>
          <w:sz w:val="20"/>
          <w:szCs w:val="20"/>
          <w:color w:val="auto"/>
        </w:rPr>
      </w:pPr>
    </w:p>
    <w:p>
      <w:pPr>
        <w:ind w:left="652" w:hanging="652"/>
        <w:spacing w:after="0"/>
        <w:tabs>
          <w:tab w:leader="none" w:pos="65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Event of Default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The following events shall be regarded as events of default:</w:t>
      </w:r>
    </w:p>
    <w:p>
      <w:pPr>
        <w:spacing w:after="0" w:line="225"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7.1.1   Pledgor fails to perform his/her obligations under any of the Principal Agreements;</w:t>
      </w:r>
    </w:p>
    <w:p>
      <w:pPr>
        <w:spacing w:after="0" w:line="225" w:lineRule="exact"/>
        <w:rPr>
          <w:sz w:val="20"/>
          <w:szCs w:val="20"/>
          <w:color w:val="auto"/>
        </w:rPr>
      </w:pPr>
    </w:p>
    <w:p>
      <w:pPr>
        <w:ind w:left="1932" w:right="220" w:hanging="647"/>
        <w:spacing w:after="0" w:line="277" w:lineRule="auto"/>
        <w:tabs>
          <w:tab w:leader="none" w:pos="1912" w:val="left"/>
        </w:tabs>
        <w:rPr>
          <w:sz w:val="20"/>
          <w:szCs w:val="20"/>
          <w:color w:val="auto"/>
        </w:rPr>
      </w:pPr>
      <w:r>
        <w:rPr>
          <w:rFonts w:ascii="Arial" w:cs="Arial" w:eastAsia="Arial" w:hAnsi="Arial"/>
          <w:sz w:val="18"/>
          <w:szCs w:val="18"/>
          <w:color w:val="auto"/>
        </w:rPr>
        <w:t>7.1.2</w:t>
        <w:tab/>
        <w:t>Any representation or warranty made by the Pledgor in Article 5 hereof contains material misleading statements or errors and/or the Pledgor breaches any warranty in Article 5 hereof;</w:t>
      </w:r>
    </w:p>
    <w:p>
      <w:pPr>
        <w:spacing w:after="0" w:line="170"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Pledgor breaches the covenants under Article 6 hereof;</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The Pledgor breaches another provision of this Agreement;</w:t>
      </w:r>
    </w:p>
    <w:p>
      <w:pPr>
        <w:spacing w:after="0" w:line="225" w:lineRule="exact"/>
        <w:rPr>
          <w:sz w:val="20"/>
          <w:szCs w:val="20"/>
          <w:color w:val="auto"/>
        </w:rPr>
      </w:pPr>
    </w:p>
    <w:p>
      <w:pPr>
        <w:ind w:left="1932" w:right="280" w:hanging="647"/>
        <w:spacing w:after="0" w:line="277" w:lineRule="auto"/>
        <w:tabs>
          <w:tab w:leader="none" w:pos="1912" w:val="left"/>
        </w:tabs>
        <w:rPr>
          <w:sz w:val="20"/>
          <w:szCs w:val="20"/>
          <w:color w:val="auto"/>
        </w:rPr>
      </w:pPr>
      <w:r>
        <w:rPr>
          <w:rFonts w:ascii="Arial" w:cs="Arial" w:eastAsia="Arial" w:hAnsi="Arial"/>
          <w:sz w:val="18"/>
          <w:szCs w:val="18"/>
          <w:color w:val="auto"/>
        </w:rPr>
        <w:t>7.1.5</w:t>
        <w:tab/>
        <w:t>The Pledgor waives the pledged Equity Interest or transfers or assigns the pledged Equity Interest without prior written consent from the Pledgee;</w:t>
      </w:r>
    </w:p>
    <w:p>
      <w:pPr>
        <w:sectPr>
          <w:pgSz w:w="11900" w:h="16929" w:orient="portrait"/>
          <w:cols w:equalWidth="0" w:num="1">
            <w:col w:w="11392"/>
          </w:cols>
          <w:pgMar w:left="248" w:top="125" w:right="259" w:bottom="0" w:gutter="0" w:footer="0" w:header="0"/>
        </w:sectPr>
      </w:pPr>
    </w:p>
    <w:bookmarkStart w:id="130" w:name="page131"/>
    <w:bookmarkEnd w:id="130"/>
    <w:p>
      <w:pPr>
        <w:spacing w:after="0" w:line="137" w:lineRule="exact"/>
        <w:rPr>
          <w:sz w:val="20"/>
          <w:szCs w:val="20"/>
          <w:color w:val="auto"/>
        </w:rPr>
      </w:pPr>
    </w:p>
    <w:p>
      <w:pPr>
        <w:ind w:left="1932" w:right="260" w:hanging="647"/>
        <w:spacing w:after="0" w:line="312" w:lineRule="auto"/>
        <w:tabs>
          <w:tab w:leader="none" w:pos="1912"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color w:val="auto"/>
        </w:rPr>
        <w:t>Any of the Pledgor’s external loans, guaranties, compensations, undertakings or other obligations (1) is required to be repaid or performed prior to the scheduled due date because of a default; or (2) is due but cannot be repaid or performed as scheduled, causing the Pledgee to believe that the Pledgor’s ability to perform the obligations hereunder has been affected;</w:t>
      </w:r>
    </w:p>
    <w:p>
      <w:pPr>
        <w:spacing w:after="0" w:line="147"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color w:val="auto"/>
        </w:rPr>
        <w:t>The Company is incapable of repaying its general debts or other debts;</w:t>
      </w:r>
    </w:p>
    <w:p>
      <w:pPr>
        <w:spacing w:after="0" w:line="225" w:lineRule="exact"/>
        <w:rPr>
          <w:sz w:val="20"/>
          <w:szCs w:val="20"/>
          <w:color w:val="auto"/>
        </w:rPr>
      </w:pPr>
    </w:p>
    <w:p>
      <w:pPr>
        <w:ind w:left="1932" w:hanging="647"/>
        <w:spacing w:after="0" w:line="277" w:lineRule="auto"/>
        <w:tabs>
          <w:tab w:leader="none" w:pos="1912" w:val="left"/>
        </w:tabs>
        <w:rPr>
          <w:sz w:val="20"/>
          <w:szCs w:val="20"/>
          <w:color w:val="auto"/>
        </w:rPr>
      </w:pPr>
      <w:r>
        <w:rPr>
          <w:rFonts w:ascii="Arial" w:cs="Arial" w:eastAsia="Arial" w:hAnsi="Arial"/>
          <w:sz w:val="18"/>
          <w:szCs w:val="18"/>
          <w:color w:val="auto"/>
        </w:rPr>
        <w:t>7.1.8</w:t>
        <w:tab/>
        <w:t>This Agreement becomes illegal or the Pledgor is not capable of continuing to perform the obligations hereunder due to any reason other than force majeure;</w:t>
      </w:r>
    </w:p>
    <w:p>
      <w:pPr>
        <w:spacing w:after="0" w:line="170" w:lineRule="exact"/>
        <w:rPr>
          <w:sz w:val="20"/>
          <w:szCs w:val="20"/>
          <w:color w:val="auto"/>
        </w:rPr>
      </w:pPr>
    </w:p>
    <w:p>
      <w:pPr>
        <w:ind w:left="1932" w:right="140" w:hanging="647"/>
        <w:spacing w:after="0" w:line="277" w:lineRule="auto"/>
        <w:tabs>
          <w:tab w:leader="none" w:pos="1912" w:val="left"/>
        </w:tabs>
        <w:rPr>
          <w:sz w:val="20"/>
          <w:szCs w:val="20"/>
          <w:color w:val="auto"/>
        </w:rPr>
      </w:pPr>
      <w:r>
        <w:rPr>
          <w:rFonts w:ascii="Arial" w:cs="Arial" w:eastAsia="Arial" w:hAnsi="Arial"/>
          <w:sz w:val="18"/>
          <w:szCs w:val="18"/>
          <w:color w:val="auto"/>
        </w:rPr>
        <w:t>7.1.9</w:t>
        <w:tab/>
        <w:t>There have been adverse changes to the properties owned by the Pledgor, causing the Pledgee to believe that the capability of the Pledgor to perform the obligations hereunder has been affected; or</w:t>
      </w:r>
    </w:p>
    <w:p>
      <w:pPr>
        <w:spacing w:after="0" w:line="170"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7.1.10</w:t>
      </w:r>
      <w:r>
        <w:rPr>
          <w:sz w:val="20"/>
          <w:szCs w:val="20"/>
          <w:color w:val="auto"/>
        </w:rPr>
        <w:tab/>
      </w:r>
      <w:r>
        <w:rPr>
          <w:rFonts w:ascii="Arial" w:cs="Arial" w:eastAsia="Arial" w:hAnsi="Arial"/>
          <w:sz w:val="16"/>
          <w:szCs w:val="16"/>
          <w:color w:val="auto"/>
        </w:rPr>
        <w:t>The breach of the other provisions of this Agreement by the Pledgor due to his/her act or omission.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620" w:hanging="647"/>
        <w:spacing w:after="0" w:line="277" w:lineRule="auto"/>
        <w:tabs>
          <w:tab w:leader="none" w:pos="12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Pledgor shall immediately give a written notice to the Pledgee if the Pledgor knows or discovers that any event specified under Article 7.1 hereof or any event that may result in the foregoing events has occurred.</w:t>
      </w:r>
    </w:p>
    <w:p>
      <w:pPr>
        <w:spacing w:after="0" w:line="170" w:lineRule="exact"/>
        <w:rPr>
          <w:sz w:val="20"/>
          <w:szCs w:val="20"/>
          <w:color w:val="auto"/>
        </w:rPr>
      </w:pPr>
    </w:p>
    <w:p>
      <w:pPr>
        <w:ind w:left="1292" w:right="40" w:hanging="647"/>
        <w:spacing w:after="0" w:line="302" w:lineRule="auto"/>
        <w:tabs>
          <w:tab w:leader="none" w:pos="127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Unless an event of default under Article 7.1 hereof has been solved to the Pledgee’s satisfaction, the Pledgee, at any time when the event of default occurs or at anytime thereafter, may give a written notice of default to the Pledgor either (i) requiring the Pledgor to immediately cause payment into a bank account designated by the Pledgee of the full outstanding amount under the Loan Agreement and/or make any other payments required under any other Principal Agreement or (ii) requesting to exercise the Pledge in accordance with Article 8 hereof.</w:t>
      </w:r>
    </w:p>
    <w:p>
      <w:pPr>
        <w:spacing w:after="0" w:line="154" w:lineRule="exact"/>
        <w:rPr>
          <w:sz w:val="20"/>
          <w:szCs w:val="20"/>
          <w:color w:val="auto"/>
        </w:rPr>
      </w:pPr>
    </w:p>
    <w:p>
      <w:pPr>
        <w:ind w:left="652" w:hanging="652"/>
        <w:spacing w:after="0"/>
        <w:tabs>
          <w:tab w:leader="none" w:pos="6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Exercise of the Pledge</w:t>
      </w:r>
    </w:p>
    <w:p>
      <w:pPr>
        <w:spacing w:after="0" w:line="225" w:lineRule="exact"/>
        <w:rPr>
          <w:rFonts w:ascii="Arial" w:cs="Arial" w:eastAsia="Arial" w:hAnsi="Arial"/>
          <w:sz w:val="18"/>
          <w:szCs w:val="18"/>
          <w:color w:val="auto"/>
        </w:rPr>
      </w:pPr>
    </w:p>
    <w:p>
      <w:pPr>
        <w:ind w:left="1292" w:right="100" w:hanging="648"/>
        <w:spacing w:after="0" w:line="277" w:lineRule="auto"/>
        <w:rPr>
          <w:rFonts w:ascii="Arial" w:cs="Arial" w:eastAsia="Arial" w:hAnsi="Arial"/>
          <w:sz w:val="18"/>
          <w:szCs w:val="18"/>
          <w:color w:val="auto"/>
        </w:rPr>
      </w:pPr>
      <w:r>
        <w:rPr>
          <w:rFonts w:ascii="Arial" w:cs="Arial" w:eastAsia="Arial" w:hAnsi="Arial"/>
          <w:sz w:val="18"/>
          <w:szCs w:val="18"/>
          <w:color w:val="auto"/>
        </w:rPr>
        <w:t>8.1The Pledgor shall not transfer or assign the Equity Interest without prior written approval from the Pledgee prior to the full performance of his/her obligations under the Principal Agreements.</w:t>
      </w:r>
    </w:p>
    <w:p>
      <w:pPr>
        <w:spacing w:after="0" w:line="170"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color w:val="auto"/>
        </w:rPr>
        <w:t>The Pledgee shall give a notice of default to the Pledgor when the Pledgee exercises the Pledge.</w:t>
      </w:r>
    </w:p>
    <w:p>
      <w:pPr>
        <w:spacing w:after="0" w:line="225" w:lineRule="exact"/>
        <w:rPr>
          <w:rFonts w:ascii="Arial" w:cs="Arial" w:eastAsia="Arial" w:hAnsi="Arial"/>
          <w:sz w:val="18"/>
          <w:szCs w:val="18"/>
          <w:color w:val="auto"/>
        </w:rPr>
      </w:pPr>
    </w:p>
    <w:p>
      <w:pPr>
        <w:ind w:left="1292" w:right="140" w:hanging="648"/>
        <w:spacing w:after="0" w:line="277" w:lineRule="auto"/>
        <w:rPr>
          <w:rFonts w:ascii="Arial" w:cs="Arial" w:eastAsia="Arial" w:hAnsi="Arial"/>
          <w:sz w:val="18"/>
          <w:szCs w:val="18"/>
          <w:color w:val="auto"/>
        </w:rPr>
      </w:pPr>
      <w:r>
        <w:rPr>
          <w:rFonts w:ascii="Arial" w:cs="Arial" w:eastAsia="Arial" w:hAnsi="Arial"/>
          <w:sz w:val="18"/>
          <w:szCs w:val="18"/>
          <w:color w:val="auto"/>
        </w:rPr>
        <w:t>8.3Subject to Article 7.3, the Pledgee may exercise the Pledge when the Pledgee gives a notice of default in accordance with Article 7.3 or at anytime thereafter.</w:t>
      </w:r>
    </w:p>
    <w:p>
      <w:pPr>
        <w:spacing w:after="0" w:line="170" w:lineRule="exact"/>
        <w:rPr>
          <w:rFonts w:ascii="Arial" w:cs="Arial" w:eastAsia="Arial" w:hAnsi="Arial"/>
          <w:sz w:val="18"/>
          <w:szCs w:val="18"/>
          <w:color w:val="auto"/>
        </w:rPr>
      </w:pPr>
    </w:p>
    <w:p>
      <w:pPr>
        <w:ind w:left="1292" w:right="460" w:hanging="648"/>
        <w:spacing w:after="0" w:line="312" w:lineRule="auto"/>
        <w:rPr>
          <w:rFonts w:ascii="Arial" w:cs="Arial" w:eastAsia="Arial" w:hAnsi="Arial"/>
          <w:sz w:val="18"/>
          <w:szCs w:val="18"/>
          <w:color w:val="auto"/>
        </w:rPr>
      </w:pPr>
      <w:r>
        <w:rPr>
          <w:rFonts w:ascii="Arial" w:cs="Arial" w:eastAsia="Arial" w:hAnsi="Arial"/>
          <w:sz w:val="18"/>
          <w:szCs w:val="18"/>
          <w:color w:val="auto"/>
        </w:rPr>
        <w:t>8.4</w:t>
      </w:r>
      <w:r>
        <w:rPr>
          <w:rFonts w:ascii="Arial" w:cs="Arial" w:eastAsia="Arial" w:hAnsi="Arial"/>
          <w:sz w:val="16"/>
          <w:szCs w:val="16"/>
          <w:color w:val="auto"/>
        </w:rPr>
        <w:t>The Pledgee is entitled to priority in receiving payment in the form of all or part of the Equity Interest based on the conversion value thereof, or from the proceeds from the auction or sale of all or part of the Equity Interest in accordance with legal procedure, until the outstanding debt and all other payables of the Pledgor under Loan Agreement and any other Principal Agreement are repaid.</w:t>
      </w:r>
    </w:p>
    <w:p>
      <w:pPr>
        <w:spacing w:after="0" w:line="146" w:lineRule="exact"/>
        <w:rPr>
          <w:rFonts w:ascii="Arial" w:cs="Arial" w:eastAsia="Arial" w:hAnsi="Arial"/>
          <w:sz w:val="18"/>
          <w:szCs w:val="18"/>
          <w:color w:val="auto"/>
        </w:rPr>
      </w:pPr>
    </w:p>
    <w:p>
      <w:pPr>
        <w:ind w:left="1292" w:right="60" w:hanging="648"/>
        <w:spacing w:after="0" w:line="277" w:lineRule="auto"/>
        <w:rPr>
          <w:rFonts w:ascii="Arial" w:cs="Arial" w:eastAsia="Arial" w:hAnsi="Arial"/>
          <w:sz w:val="18"/>
          <w:szCs w:val="18"/>
          <w:color w:val="auto"/>
        </w:rPr>
      </w:pPr>
      <w:r>
        <w:rPr>
          <w:rFonts w:ascii="Arial" w:cs="Arial" w:eastAsia="Arial" w:hAnsi="Arial"/>
          <w:sz w:val="18"/>
          <w:szCs w:val="18"/>
          <w:color w:val="auto"/>
        </w:rPr>
        <w:t>8.5The Pledgor shall not hinder the Pledgee from exercising the Pledge in accordance with this Agreement and shall give necessary assistance so that the Pledgee can fully exercise its Pledge.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Assignment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The Pledgor shall not assign or transfer its rights and obligations hereunder without prior consent from the Pledgee.</w:t>
      </w:r>
    </w:p>
    <w:p>
      <w:pPr>
        <w:spacing w:after="0" w:line="225" w:lineRule="exact"/>
        <w:rPr>
          <w:rFonts w:ascii="Arial" w:cs="Arial" w:eastAsia="Arial" w:hAnsi="Arial"/>
          <w:sz w:val="18"/>
          <w:szCs w:val="18"/>
          <w:color w:val="auto"/>
        </w:rPr>
      </w:pPr>
    </w:p>
    <w:p>
      <w:pPr>
        <w:ind w:left="1292" w:right="60" w:hanging="648"/>
        <w:spacing w:after="0" w:line="257" w:lineRule="auto"/>
        <w:rPr>
          <w:rFonts w:ascii="Arial" w:cs="Arial" w:eastAsia="Arial" w:hAnsi="Arial"/>
          <w:sz w:val="18"/>
          <w:szCs w:val="18"/>
          <w:color w:val="auto"/>
        </w:rPr>
      </w:pPr>
      <w:r>
        <w:rPr>
          <w:rFonts w:ascii="Arial" w:cs="Arial" w:eastAsia="Arial" w:hAnsi="Arial"/>
          <w:sz w:val="18"/>
          <w:szCs w:val="18"/>
          <w:color w:val="auto"/>
        </w:rPr>
        <w:t>9.2This Agreement shall be binding upon the Pledgor and his/her successors and be binding on the Pledgee and each of its successors and permitted assigns.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hanging="647"/>
        <w:spacing w:after="0" w:line="297" w:lineRule="auto"/>
        <w:tabs>
          <w:tab w:leader="none" w:pos="127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To the extent permitted by law, the Pledgee may transfer or assign any or all of its rights and obligations under the Principal Agreements to any person (natural person or legal entity) designated by it at any time. In that case, the assignee shall have the same rights and obligations as those of the Pledgee as if the assignee was an original party hereto. When the Pledgee transfers or assigns the rights and obligations under the Principal Agreements, it is only required to provide a written notice to the Pledgor, and at the request of the Pledgee, the Pledgor shall execute the relevant agreements and/or documents with respect to such transfer or assignment.</w:t>
      </w:r>
    </w:p>
    <w:p>
      <w:pPr>
        <w:spacing w:after="0" w:line="158" w:lineRule="exact"/>
        <w:rPr>
          <w:sz w:val="20"/>
          <w:szCs w:val="20"/>
          <w:color w:val="auto"/>
        </w:rPr>
      </w:pPr>
    </w:p>
    <w:p>
      <w:pPr>
        <w:ind w:left="1292" w:right="420" w:hanging="647"/>
        <w:spacing w:after="0" w:line="277" w:lineRule="auto"/>
        <w:tabs>
          <w:tab w:leader="none" w:pos="127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After the Pledgee has been changed as a result of a transfer or an assignment, the new parties to the Pledge shall execute a new pledge contract.</w:t>
      </w:r>
    </w:p>
    <w:p>
      <w:pPr>
        <w:spacing w:after="0" w:line="170" w:lineRule="exact"/>
        <w:rPr>
          <w:sz w:val="20"/>
          <w:szCs w:val="20"/>
          <w:color w:val="auto"/>
        </w:rPr>
      </w:pPr>
    </w:p>
    <w:p>
      <w:pPr>
        <w:ind w:left="652" w:hanging="652"/>
        <w:spacing w:after="0"/>
        <w:tabs>
          <w:tab w:leader="none" w:pos="6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Effectiveness</w:t>
      </w:r>
    </w:p>
    <w:p>
      <w:pPr>
        <w:spacing w:after="0" w:line="225" w:lineRule="exact"/>
        <w:rPr>
          <w:rFonts w:ascii="Arial" w:cs="Arial" w:eastAsia="Arial" w:hAnsi="Arial"/>
          <w:sz w:val="18"/>
          <w:szCs w:val="18"/>
          <w:color w:val="auto"/>
        </w:rPr>
      </w:pPr>
    </w:p>
    <w:p>
      <w:pPr>
        <w:ind w:left="652" w:right="700"/>
        <w:spacing w:after="0" w:line="277" w:lineRule="auto"/>
        <w:rPr>
          <w:rFonts w:ascii="Arial" w:cs="Arial" w:eastAsia="Arial" w:hAnsi="Arial"/>
          <w:sz w:val="18"/>
          <w:szCs w:val="18"/>
          <w:color w:val="auto"/>
        </w:rPr>
      </w:pPr>
      <w:r>
        <w:rPr>
          <w:rFonts w:ascii="Arial" w:cs="Arial" w:eastAsia="Arial" w:hAnsi="Arial"/>
          <w:sz w:val="18"/>
          <w:szCs w:val="18"/>
          <w:color w:val="auto"/>
        </w:rPr>
        <w:t>This Agreement is effective as of the date first set forth above and from the date when the pledge is recorded on the Company’s Register of Shareholders.</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rFonts w:ascii="Arial" w:cs="Arial" w:eastAsia="Arial" w:hAnsi="Arial"/>
          <w:sz w:val="18"/>
          <w:szCs w:val="18"/>
          <w:color w:val="auto"/>
        </w:rPr>
      </w:pPr>
    </w:p>
    <w:p>
      <w:pPr>
        <w:jc w:val="both"/>
        <w:ind w:left="652" w:right="60"/>
        <w:spacing w:after="0" w:line="342" w:lineRule="auto"/>
        <w:rPr>
          <w:rFonts w:ascii="Arial" w:cs="Arial" w:eastAsia="Arial" w:hAnsi="Arial"/>
          <w:sz w:val="18"/>
          <w:szCs w:val="18"/>
          <w:color w:val="auto"/>
        </w:rPr>
      </w:pPr>
      <w:r>
        <w:rPr>
          <w:rFonts w:ascii="Arial" w:cs="Arial" w:eastAsia="Arial" w:hAnsi="Arial"/>
          <w:sz w:val="16"/>
          <w:szCs w:val="16"/>
          <w:color w:val="auto"/>
        </w:rPr>
        <w:t>This Agreement shall terminate when the Pledgee confirms in writing that the loan under the Loan Agreement has been fully repaid and the Pledgor no longer has any outstanding obligations under the Principal Agreements. Thereafter, the Pledgee shall cancel or terminate this Agreement as soon</w:t>
      </w:r>
    </w:p>
    <w:p>
      <w:pPr>
        <w:sectPr>
          <w:pgSz w:w="11900" w:h="16975" w:orient="portrait"/>
          <w:cols w:equalWidth="0" w:num="1">
            <w:col w:w="11372"/>
          </w:cols>
          <w:pgMar w:left="248" w:top="341" w:right="279" w:bottom="0" w:gutter="0" w:footer="0" w:header="0"/>
        </w:sectPr>
      </w:pPr>
    </w:p>
    <w:bookmarkStart w:id="131" w:name="page132"/>
    <w:bookmarkEnd w:id="131"/>
    <w:p>
      <w:pPr>
        <w:ind w:left="652"/>
        <w:spacing w:after="0"/>
        <w:rPr>
          <w:sz w:val="20"/>
          <w:szCs w:val="20"/>
          <w:color w:val="auto"/>
        </w:rPr>
      </w:pPr>
      <w:r>
        <w:rPr>
          <w:rFonts w:ascii="Arial" w:cs="Arial" w:eastAsia="Arial" w:hAnsi="Arial"/>
          <w:sz w:val="18"/>
          <w:szCs w:val="18"/>
          <w:color w:val="auto"/>
        </w:rPr>
        <w:t>as reasonably practicable.</w:t>
      </w:r>
    </w:p>
    <w:p>
      <w:pPr>
        <w:spacing w:after="0" w:line="225" w:lineRule="exact"/>
        <w:rPr>
          <w:sz w:val="20"/>
          <w:szCs w:val="20"/>
          <w:color w:val="auto"/>
        </w:rPr>
      </w:pPr>
    </w:p>
    <w:p>
      <w:pPr>
        <w:ind w:left="652" w:hanging="652"/>
        <w:spacing w:after="0"/>
        <w:tabs>
          <w:tab w:leader="none" w:pos="6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Fees and Other Charges</w:t>
      </w:r>
    </w:p>
    <w:p>
      <w:pPr>
        <w:spacing w:after="0" w:line="225" w:lineRule="exact"/>
        <w:rPr>
          <w:rFonts w:ascii="Arial" w:cs="Arial" w:eastAsia="Arial" w:hAnsi="Arial"/>
          <w:sz w:val="18"/>
          <w:szCs w:val="18"/>
          <w:color w:val="auto"/>
        </w:rPr>
      </w:pPr>
    </w:p>
    <w:p>
      <w:pPr>
        <w:ind w:left="1292" w:hanging="648"/>
        <w:spacing w:after="0" w:line="264" w:lineRule="auto"/>
        <w:rPr>
          <w:rFonts w:ascii="Arial" w:cs="Arial" w:eastAsia="Arial" w:hAnsi="Arial"/>
          <w:sz w:val="18"/>
          <w:szCs w:val="18"/>
          <w:color w:val="auto"/>
        </w:rPr>
      </w:pPr>
      <w:r>
        <w:rPr>
          <w:rFonts w:ascii="Arial" w:cs="Arial" w:eastAsia="Arial" w:hAnsi="Arial"/>
          <w:sz w:val="18"/>
          <w:szCs w:val="18"/>
          <w:color w:val="auto"/>
        </w:rPr>
        <w:t>12.1 The Pledgor shall be responsible for all of the fees and actual expenses in relation to this Agreement including, but not limited to, legal fees, production costs, stamp tax and any other taxes and charges. If the Pledgee pays the relevant taxes in accordance with the laws, the Pledgor shall fully indemnify the Pledgee for such taxes paid by the Pledgee.</w:t>
      </w:r>
    </w:p>
    <w:p>
      <w:pPr>
        <w:spacing w:after="0" w:line="181" w:lineRule="exact"/>
        <w:rPr>
          <w:rFonts w:ascii="Arial" w:cs="Arial" w:eastAsia="Arial" w:hAnsi="Arial"/>
          <w:sz w:val="18"/>
          <w:szCs w:val="18"/>
          <w:color w:val="auto"/>
        </w:rPr>
      </w:pPr>
    </w:p>
    <w:p>
      <w:pPr>
        <w:ind w:left="1292" w:right="100" w:hanging="648"/>
        <w:spacing w:after="0" w:line="259" w:lineRule="auto"/>
        <w:rPr>
          <w:rFonts w:ascii="Arial" w:cs="Arial" w:eastAsia="Arial" w:hAnsi="Arial"/>
          <w:sz w:val="18"/>
          <w:szCs w:val="18"/>
          <w:color w:val="auto"/>
        </w:rPr>
      </w:pPr>
      <w:r>
        <w:rPr>
          <w:rFonts w:ascii="Arial" w:cs="Arial" w:eastAsia="Arial" w:hAnsi="Arial"/>
          <w:sz w:val="18"/>
          <w:szCs w:val="18"/>
          <w:color w:val="auto"/>
        </w:rPr>
        <w:t>12.2 In the event that the Pledgee has to make a claim against the Pledgor by any means as a result of the Pledgor’s failure to pay any tax or expense payable by the Pledgor under this Agreement, the Pledgor shall be responsible for all the expenses arising from such claim (including but not limited to any taxes, handling fees, management fees, litigation fees, attorney’s fees, and various insurance premiums in connection with the disposition of the Pledge).</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225" w:lineRule="exact"/>
        <w:rPr>
          <w:rFonts w:ascii="Arial" w:cs="Arial" w:eastAsia="Arial" w:hAnsi="Arial"/>
          <w:sz w:val="18"/>
          <w:szCs w:val="18"/>
          <w:color w:val="auto"/>
        </w:rPr>
      </w:pPr>
    </w:p>
    <w:p>
      <w:pPr>
        <w:ind w:left="1292" w:right="60" w:hanging="648"/>
        <w:spacing w:after="0" w:line="297" w:lineRule="auto"/>
        <w:rPr>
          <w:rFonts w:ascii="Arial" w:cs="Arial" w:eastAsia="Arial" w:hAnsi="Arial"/>
          <w:sz w:val="18"/>
          <w:szCs w:val="18"/>
          <w:color w:val="auto"/>
        </w:rPr>
      </w:pPr>
      <w:r>
        <w:rPr>
          <w:rFonts w:ascii="Arial" w:cs="Arial" w:eastAsia="Arial" w:hAnsi="Arial"/>
          <w:sz w:val="16"/>
          <w:szCs w:val="16"/>
          <w:color w:val="auto"/>
        </w:rPr>
        <w:t>13.1 Force Majeure, which includes but is not limited to acts of governments, acts of nature, fires, explosions, typhoons, floods, earthquakes, tides, lightning or war, means any unforeseen event that is beyond the party’s reasonable control and cannot be prevented with reasonable care of the affected party. However, any insufficiency of creditworthiness, capital or financing shall not be regarded as an event beyond the party’s reasonable control. The party affected by Force Majeure and seeking exemption from performing the obligations under this Agreement shall inform the other party of such exemption and any action taken by it for performing this Agreement.</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hanging="647"/>
        <w:spacing w:after="0" w:line="257" w:lineRule="auto"/>
        <w:tabs>
          <w:tab w:leader="none" w:pos="12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In the event that the affected party is delayed in or prevented from performing its obligations under this Agreement by Force Majeure, and only to the extent of such delay or prevention, the affected party shall not be liable for the obligations under this Agreement. The affected party shall take appropriate measures to minimize or remove the effects of Force Majeure and attempt to resume the performance of the obligations delayed or prevented by the event of Force Majeure. Once the event of Force Majeure is removed, both parties agree to resume the performance of this Agreement using their best efforts.</w:t>
      </w:r>
    </w:p>
    <w:p>
      <w:pPr>
        <w:spacing w:after="0" w:line="188" w:lineRule="exact"/>
        <w:rPr>
          <w:sz w:val="20"/>
          <w:szCs w:val="20"/>
          <w:color w:val="auto"/>
        </w:rPr>
      </w:pPr>
    </w:p>
    <w:p>
      <w:pPr>
        <w:ind w:left="652" w:hanging="652"/>
        <w:spacing w:after="0"/>
        <w:tabs>
          <w:tab w:leader="none" w:pos="6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1292" w:right="40" w:hanging="648"/>
        <w:spacing w:after="0" w:line="286" w:lineRule="auto"/>
        <w:rPr>
          <w:rFonts w:ascii="Arial" w:cs="Arial" w:eastAsia="Arial" w:hAnsi="Arial"/>
          <w:sz w:val="18"/>
          <w:szCs w:val="18"/>
          <w:color w:val="auto"/>
        </w:rPr>
      </w:pPr>
      <w:r>
        <w:rPr>
          <w:rFonts w:ascii="Arial" w:cs="Arial" w:eastAsia="Arial" w:hAnsi="Arial"/>
          <w:sz w:val="16"/>
          <w:szCs w:val="16"/>
          <w:color w:val="auto"/>
        </w:rPr>
        <w:t>14.1 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party except in the following situations: (a) such materials are or will become known by the public (through no fault of the receiving party); (b) any materials as required to be disclosed by the applicable laws or rules of any stock exchange or governmental entity; and</w:t>
      </w:r>
    </w:p>
    <w:p>
      <w:pPr>
        <w:spacing w:after="0" w:line="1" w:lineRule="exact"/>
        <w:rPr>
          <w:rFonts w:ascii="Arial" w:cs="Arial" w:eastAsia="Arial" w:hAnsi="Arial"/>
          <w:sz w:val="18"/>
          <w:szCs w:val="18"/>
          <w:color w:val="auto"/>
        </w:rPr>
      </w:pPr>
    </w:p>
    <w:p>
      <w:pPr>
        <w:jc w:val="both"/>
        <w:ind w:left="1292" w:right="140" w:firstLine="5"/>
        <w:spacing w:after="0" w:line="254" w:lineRule="auto"/>
        <w:tabs>
          <w:tab w:leader="none" w:pos="153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any materials disclosed by each party to its legal or financial advisors relating to the transactions contemplated by this Agreement, and such legal or financial advisors shall comply with the confidentiality provisions set forth in this Article 14. Any disclosure of confidential information by the personnel of any party or by the institutions engaged by such party shall be deemed as a disclosure by such party, and such party shall be liable for the breach under this Agreement.</w:t>
      </w:r>
    </w:p>
    <w:p>
      <w:pPr>
        <w:spacing w:after="0" w:line="19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Both parties agree that this Article 14 shall survive the invalidity, cancellation, termination or unenforceability of this Agreement.</w:t>
      </w:r>
    </w:p>
    <w:p>
      <w:pPr>
        <w:spacing w:after="0" w:line="225" w:lineRule="exact"/>
        <w:rPr>
          <w:sz w:val="20"/>
          <w:szCs w:val="20"/>
          <w:color w:val="auto"/>
        </w:rPr>
      </w:pPr>
    </w:p>
    <w:p>
      <w:pPr>
        <w:ind w:left="652" w:hanging="652"/>
        <w:spacing w:after="0"/>
        <w:tabs>
          <w:tab w:leader="none" w:pos="6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292" w:hanging="648"/>
        <w:spacing w:after="0" w:line="277" w:lineRule="auto"/>
        <w:rPr>
          <w:rFonts w:ascii="Arial" w:cs="Arial" w:eastAsia="Arial" w:hAnsi="Arial"/>
          <w:sz w:val="18"/>
          <w:szCs w:val="18"/>
          <w:color w:val="auto"/>
        </w:rPr>
      </w:pPr>
      <w:r>
        <w:rPr>
          <w:rFonts w:ascii="Arial" w:cs="Arial" w:eastAsia="Arial" w:hAnsi="Arial"/>
          <w:sz w:val="18"/>
          <w:szCs w:val="18"/>
          <w:color w:val="auto"/>
        </w:rPr>
        <w:t>15.1 The formation, validity, interpretation and performance of and settlement of disputes under this Agreement shall be governed by the laws of the PRC.</w:t>
      </w:r>
    </w:p>
    <w:p>
      <w:pPr>
        <w:spacing w:after="0" w:line="170" w:lineRule="exact"/>
        <w:rPr>
          <w:rFonts w:ascii="Arial" w:cs="Arial" w:eastAsia="Arial" w:hAnsi="Arial"/>
          <w:sz w:val="18"/>
          <w:szCs w:val="18"/>
          <w:color w:val="auto"/>
        </w:rPr>
      </w:pPr>
    </w:p>
    <w:p>
      <w:pPr>
        <w:ind w:left="1292" w:right="40" w:hanging="648"/>
        <w:spacing w:after="0" w:line="257" w:lineRule="auto"/>
        <w:rPr>
          <w:rFonts w:ascii="Arial" w:cs="Arial" w:eastAsia="Arial" w:hAnsi="Arial"/>
          <w:sz w:val="18"/>
          <w:szCs w:val="18"/>
          <w:color w:val="auto"/>
        </w:rPr>
      </w:pPr>
      <w:r>
        <w:rPr>
          <w:rFonts w:ascii="Arial" w:cs="Arial" w:eastAsia="Arial" w:hAnsi="Arial"/>
          <w:sz w:val="18"/>
          <w:szCs w:val="18"/>
          <w:color w:val="auto"/>
        </w:rPr>
        <w:t>15.2 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Notice</w:t>
      </w:r>
    </w:p>
    <w:p>
      <w:pPr>
        <w:spacing w:after="0" w:line="225" w:lineRule="exact"/>
        <w:rPr>
          <w:rFonts w:ascii="Arial" w:cs="Arial" w:eastAsia="Arial" w:hAnsi="Arial"/>
          <w:sz w:val="18"/>
          <w:szCs w:val="18"/>
          <w:color w:val="auto"/>
        </w:rPr>
      </w:pPr>
    </w:p>
    <w:p>
      <w:pPr>
        <w:ind w:left="652" w:right="220"/>
        <w:spacing w:after="0" w:line="297" w:lineRule="auto"/>
        <w:rPr>
          <w:rFonts w:ascii="Arial" w:cs="Arial" w:eastAsia="Arial" w:hAnsi="Arial"/>
          <w:sz w:val="18"/>
          <w:szCs w:val="18"/>
          <w:color w:val="auto"/>
        </w:rPr>
      </w:pPr>
      <w:r>
        <w:rPr>
          <w:rFonts w:ascii="Arial" w:cs="Arial" w:eastAsia="Arial" w:hAnsi="Arial"/>
          <w:sz w:val="16"/>
          <w:szCs w:val="16"/>
          <w:color w:val="auto"/>
        </w:rPr>
        <w:t>Any notice which is given by the parties hereto for the purpose of performing the rights and obligations hereunder shall be in writing. Where such notice is delivered personally, the time of notice is the time when such notice actually reaches the addressee; where such notice is transmitted by telex or facsimile, the notice time is the time when such notice is transmitted. If such notice does not reach the addressee on a business day or reaches the addressee after business hours, the next business day following such day is the date of notice. The delivery place is the address first written above for each of the parties hereto or the address advised by such party in writing, including facsimile and telex, from time to time.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Entire Contract</w:t>
      </w:r>
    </w:p>
    <w:p>
      <w:pPr>
        <w:spacing w:after="0" w:line="225" w:lineRule="exact"/>
        <w:rPr>
          <w:rFonts w:ascii="Arial" w:cs="Arial" w:eastAsia="Arial" w:hAnsi="Arial"/>
          <w:sz w:val="18"/>
          <w:szCs w:val="18"/>
          <w:color w:val="auto"/>
        </w:rPr>
      </w:pPr>
    </w:p>
    <w:p>
      <w:pPr>
        <w:ind w:left="652" w:right="160"/>
        <w:spacing w:after="0" w:line="264" w:lineRule="auto"/>
        <w:rPr>
          <w:rFonts w:ascii="Arial" w:cs="Arial" w:eastAsia="Arial" w:hAnsi="Arial"/>
          <w:sz w:val="18"/>
          <w:szCs w:val="18"/>
          <w:color w:val="auto"/>
        </w:rPr>
      </w:pPr>
      <w:r>
        <w:rPr>
          <w:rFonts w:ascii="Arial" w:cs="Arial" w:eastAsia="Arial" w:hAnsi="Arial"/>
          <w:sz w:val="18"/>
          <w:szCs w:val="18"/>
          <w:color w:val="auto"/>
        </w:rPr>
        <w:t>The parties agree that this Agreement and the Principal Agreements referenced herein constitute the entire agreement of the parties hereto with respect to the subject matters herein upon its effectiveness and supersedes and replaces all prior oral and/or written agreements and understandings relating to the subject matters of this Agreement.</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Severability</w:t>
      </w:r>
    </w:p>
    <w:p>
      <w:pPr>
        <w:sectPr>
          <w:pgSz w:w="11900" w:h="16838" w:orient="portrait"/>
          <w:cols w:equalWidth="0" w:num="1">
            <w:col w:w="11372"/>
          </w:cols>
          <w:pgMar w:left="248" w:top="125" w:right="279" w:bottom="32" w:gutter="0" w:footer="0" w:header="0"/>
        </w:sectPr>
      </w:pPr>
    </w:p>
    <w:bookmarkStart w:id="132" w:name="page133"/>
    <w:bookmarkEnd w:id="132"/>
    <w:p>
      <w:pPr>
        <w:ind w:left="660" w:right="340"/>
        <w:spacing w:after="0" w:line="264" w:lineRule="auto"/>
        <w:rPr>
          <w:sz w:val="20"/>
          <w:szCs w:val="20"/>
          <w:color w:val="auto"/>
        </w:rPr>
      </w:pPr>
      <w:r>
        <w:rPr>
          <w:rFonts w:ascii="Arial" w:cs="Arial" w:eastAsia="Arial" w:hAnsi="Arial"/>
          <w:sz w:val="18"/>
          <w:szCs w:val="18"/>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81"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Appendices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appendices to this Agreement shall constitute an integral part of this Agreement.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Amendment or Supplement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20.1    The parties may amend or supplement this Agreement by written agreement. The amendments or supplements to this Agreement duly</w:t>
      </w:r>
    </w:p>
    <w:p>
      <w:pPr>
        <w:spacing w:after="0" w:line="4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executed by both parties shall form an integral part of this Agreement and shall have the same legal effect as this Agreement.</w:t>
      </w:r>
    </w:p>
    <w:p>
      <w:pPr>
        <w:spacing w:after="0" w:line="222" w:lineRule="exact"/>
        <w:rPr>
          <w:rFonts w:ascii="Arial" w:cs="Arial" w:eastAsia="Arial" w:hAnsi="Arial"/>
          <w:sz w:val="18"/>
          <w:szCs w:val="18"/>
          <w:color w:val="auto"/>
        </w:rPr>
      </w:pPr>
    </w:p>
    <w:p>
      <w:pPr>
        <w:ind w:left="1300"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20.2 This Agreement and any amendments, modifications, supplements, additions or changes hereto shall be in writing and shall be effective upon being executed and sealed by the parties hereto.</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This Agreement is executed in English in duplicate, with each party hereto holding one copy. Both originals have the same legal effect.</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 text below on this page]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(Hangzhou) Network Co., Ltd. (seal)</w:t>
      </w:r>
    </w:p>
    <w:p>
      <w:pPr>
        <w:spacing w:after="0" w:line="229"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Legal Representative/Authorized Representative:</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2735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Chen Gang</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Chen 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9756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Power of Attorney</w:t>
      </w:r>
    </w:p>
    <w:p>
      <w:pPr>
        <w:spacing w:after="0" w:line="211" w:lineRule="exact"/>
        <w:rPr>
          <w:sz w:val="20"/>
          <w:szCs w:val="20"/>
          <w:color w:val="auto"/>
        </w:rPr>
      </w:pPr>
    </w:p>
    <w:p>
      <w:pPr>
        <w:jc w:val="both"/>
        <w:ind w:right="100" w:firstLine="728"/>
        <w:spacing w:after="0" w:line="264" w:lineRule="auto"/>
        <w:tabs>
          <w:tab w:leader="none" w:pos="94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hereby irrevocably appoint _______________________________, holder of [passport / PRC identification] number : _____________, as [my] proxy, to sign and deliver any and all legal documents that are necessary or useful to enforce or effect the purpose of the Equity Pledge Agreement between [</w:t>
      </w:r>
      <w:r>
        <w:rPr>
          <w:rFonts w:ascii="Arial" w:cs="Arial" w:eastAsia="Arial" w:hAnsi="Arial"/>
          <w:sz w:val="18"/>
          <w:szCs w:val="18"/>
          <w:i w:val="1"/>
          <w:iCs w:val="1"/>
          <w:color w:val="auto"/>
        </w:rPr>
        <w:t>NetEase (Hangzhou) Network Co., Ltd.</w:t>
      </w:r>
      <w:r>
        <w:rPr>
          <w:rFonts w:ascii="Arial" w:cs="Arial" w:eastAsia="Arial" w:hAnsi="Arial"/>
          <w:sz w:val="18"/>
          <w:szCs w:val="18"/>
          <w:color w:val="auto"/>
        </w:rPr>
        <w:t>] and [me] executed on [</w:t>
      </w:r>
      <w:r>
        <w:rPr>
          <w:rFonts w:ascii="Arial" w:cs="Arial" w:eastAsia="Arial" w:hAnsi="Arial"/>
          <w:sz w:val="18"/>
          <w:szCs w:val="18"/>
          <w:i w:val="1"/>
          <w:iCs w:val="1"/>
          <w:color w:val="auto"/>
        </w:rPr>
        <w:t>date of agreement</w:t>
      </w:r>
      <w:r>
        <w:rPr>
          <w:rFonts w:ascii="Arial" w:cs="Arial" w:eastAsia="Arial" w:hAnsi="Arial"/>
          <w:sz w:val="18"/>
          <w:szCs w:val="18"/>
          <w:color w:val="auto"/>
        </w:rPr>
        <w:t>].</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Chen Gang</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Transfer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This Transfer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jointly signed by the Parties on ___________ at the offices of [</w:t>
      </w:r>
      <w:r>
        <w:rPr>
          <w:rFonts w:ascii="Arial" w:cs="Arial" w:eastAsia="Arial" w:hAnsi="Arial"/>
          <w:sz w:val="16"/>
          <w:szCs w:val="16"/>
          <w:i w:val="1"/>
          <w:iCs w:val="1"/>
          <w:color w:val="auto"/>
        </w:rPr>
        <w:t>Hangzhou Leihuo Network Co., Ltd.</w:t>
      </w:r>
      <w:r>
        <w:rPr>
          <w:rFonts w:ascii="Arial" w:cs="Arial" w:eastAsia="Arial" w:hAnsi="Arial"/>
          <w:sz w:val="16"/>
          <w:szCs w:val="16"/>
          <w:color w:val="auto"/>
        </w:rPr>
        <w: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ectPr>
          <w:pgSz w:w="11900" w:h="16838" w:orient="portrait"/>
          <w:cols w:equalWidth="0" w:num="1">
            <w:col w:w="11360"/>
          </w:cols>
          <w:pgMar w:left="240" w:top="125" w:right="2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Transferor: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Pledgor — Chen Gang</w:t>
      </w:r>
      <w:r>
        <w:rPr>
          <w:rFonts w:ascii="Arial" w:cs="Arial" w:eastAsia="Arial" w:hAnsi="Arial"/>
          <w:sz w:val="18"/>
          <w:szCs w:val="18"/>
          <w:color w:val="auto"/>
        </w:rPr>
        <w:t>]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Pledgee</w:t>
      </w:r>
      <w:r>
        <w:rPr>
          <w:rFonts w:ascii="Arial" w:cs="Arial" w:eastAsia="Arial" w:hAnsi="Arial"/>
          <w:sz w:val="16"/>
          <w:szCs w:val="16"/>
          <w:color w:val="auto"/>
        </w:rPr>
        <w:t xml:space="preserve"> - </w:t>
      </w:r>
      <w:r>
        <w:rPr>
          <w:rFonts w:ascii="Arial" w:cs="Arial" w:eastAsia="Arial" w:hAnsi="Arial"/>
          <w:sz w:val="16"/>
          <w:szCs w:val="16"/>
          <w:i w:val="1"/>
          <w:iCs w:val="1"/>
          <w:color w:val="auto"/>
        </w:rPr>
        <w:t>NetEase (Hangzhou Network Co., Ltd. or designated person</w:t>
      </w:r>
      <w:r>
        <w:rPr>
          <w:rFonts w:ascii="Arial" w:cs="Arial" w:eastAsia="Arial" w:hAnsi="Arial"/>
          <w:sz w:val="16"/>
          <w:szCs w:val="16"/>
          <w:color w:val="auto"/>
        </w:rPr>
        <w:t>] (“</w:t>
      </w:r>
      <w:r>
        <w:rPr>
          <w:rFonts w:ascii="Arial" w:cs="Arial" w:eastAsia="Arial" w:hAnsi="Arial"/>
          <w:sz w:val="16"/>
          <w:szCs w:val="16"/>
          <w:b w:val="1"/>
          <w:bCs w:val="1"/>
          <w:i w:val="1"/>
          <w:iCs w:val="1"/>
          <w:color w:val="auto"/>
        </w:rPr>
        <w:t>Party B</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840" w:space="720"/>
            <w:col w:w="9800"/>
          </w:cols>
          <w:pgMar w:left="240" w:top="125" w:right="29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registered capital of the Company is [RMB ____________], of which Party A contributed [RMB ____________], representing [_____%]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registered capital of the Company. According to the relevant laws, rules and regulations, upon friendly negotiations between the Parties, and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Equity Pledge Agreement entered into between the Parties on [</w:t>
      </w:r>
      <w:r>
        <w:rPr>
          <w:rFonts w:ascii="Arial" w:cs="Arial" w:eastAsia="Arial" w:hAnsi="Arial"/>
          <w:sz w:val="17"/>
          <w:szCs w:val="17"/>
          <w:i w:val="1"/>
          <w:iCs w:val="1"/>
          <w:color w:val="auto"/>
        </w:rPr>
        <w:t>April 15, 2009</w:t>
      </w:r>
      <w:r>
        <w:rPr>
          <w:rFonts w:ascii="Arial" w:cs="Arial" w:eastAsia="Arial" w:hAnsi="Arial"/>
          <w:sz w:val="17"/>
          <w:szCs w:val="17"/>
          <w:color w:val="auto"/>
        </w:rPr>
        <w:t>] (the “</w:t>
      </w:r>
      <w:r>
        <w:rPr>
          <w:rFonts w:ascii="Arial" w:cs="Arial" w:eastAsia="Arial" w:hAnsi="Arial"/>
          <w:sz w:val="17"/>
          <w:szCs w:val="17"/>
          <w:b w:val="1"/>
          <w:bCs w:val="1"/>
          <w:i w:val="1"/>
          <w:iCs w:val="1"/>
          <w:color w:val="auto"/>
        </w:rPr>
        <w:t>Equity Pledge Agreement</w:t>
      </w:r>
      <w:r>
        <w:rPr>
          <w:rFonts w:ascii="Arial" w:cs="Arial" w:eastAsia="Arial" w:hAnsi="Arial"/>
          <w:sz w:val="17"/>
          <w:szCs w:val="17"/>
          <w:color w:val="auto"/>
        </w:rPr>
        <w:t>”), the Parties agree to the following:</w:t>
      </w:r>
    </w:p>
    <w:p>
      <w:pPr>
        <w:sectPr>
          <w:pgSz w:w="11900" w:h="16838" w:orient="portrait"/>
          <w:cols w:equalWidth="0" w:num="1">
            <w:col w:w="11360"/>
          </w:cols>
          <w:pgMar w:left="240" w:top="125" w:right="299"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color w:val="auto"/>
        </w:rPr>
        <w:t>Article 1. Subject of Transfer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Party A shall transfer to _____________________________ all of Party A’s equity interest in the Company (the “</w:t>
      </w:r>
      <w:r>
        <w:rPr>
          <w:rFonts w:ascii="Arial" w:cs="Arial" w:eastAsia="Arial" w:hAnsi="Arial"/>
          <w:sz w:val="16"/>
          <w:szCs w:val="16"/>
          <w:b w:val="1"/>
          <w:bCs w:val="1"/>
          <w:i w:val="1"/>
          <w:iCs w:val="1"/>
          <w:color w:val="auto"/>
        </w:rPr>
        <w:t>Transferred Interest</w:t>
      </w:r>
      <w:r>
        <w:rPr>
          <w:rFonts w:ascii="Arial" w:cs="Arial" w:eastAsia="Arial" w:hAnsi="Arial"/>
          <w:sz w:val="16"/>
          <w:szCs w:val="16"/>
          <w:color w:val="auto"/>
        </w:rPr>
        <w:t>”)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Equity Pledge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Agreement shall be subject to the relevant laws of the People’s Republic of China and the interpretations thereof. Any dispute arising from or in connection with this Agreement shall be resolved by the dispute resolution mechanism in the Equity Pledge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380"/>
          </w:cols>
          <w:pgMar w:left="240" w:top="341" w:right="27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Chen Gang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202" w:lineRule="exact"/>
        <w:rPr>
          <w:sz w:val="20"/>
          <w:szCs w:val="20"/>
          <w:color w:val="auto"/>
        </w:rPr>
      </w:pPr>
    </w:p>
    <w:p>
      <w:pPr>
        <w:sectPr>
          <w:pgSz w:w="11900" w:h="16838" w:orient="portrait"/>
          <w:cols w:equalWidth="0" w:num="2">
            <w:col w:w="1700" w:space="520"/>
            <w:col w:w="9160"/>
          </w:cols>
          <w:pgMar w:left="240" w:top="341" w:right="27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0" w:lineRule="exact"/>
        <w:rPr>
          <w:sz w:val="20"/>
          <w:szCs w:val="20"/>
          <w:color w:val="auto"/>
        </w:rPr>
      </w:pPr>
    </w:p>
    <w:p>
      <w:pPr>
        <w:sectPr>
          <w:pgSz w:w="11900" w:h="16838" w:orient="portrait"/>
          <w:cols w:equalWidth="0" w:num="2">
            <w:col w:w="1420" w:space="560"/>
            <w:col w:w="9400"/>
          </w:cols>
          <w:pgMar w:left="240" w:top="341" w:right="279" w:bottom="1440" w:gutter="0" w:footer="0" w:header="0"/>
          <w:type w:val="continuous"/>
        </w:sectPr>
      </w:pPr>
    </w:p>
    <w:p>
      <w:pPr>
        <w:spacing w:after="0" w:line="264" w:lineRule="exact"/>
        <w:rPr>
          <w:sz w:val="20"/>
          <w:szCs w:val="20"/>
          <w:color w:val="auto"/>
        </w:rPr>
      </w:pPr>
    </w:p>
    <w:p>
      <w:pPr>
        <w:ind w:left="5720"/>
        <w:spacing w:after="0"/>
        <w:tabs>
          <w:tab w:leader="none" w:pos="7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4.29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Purchase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as of </w:t>
      </w:r>
      <w:r>
        <w:rPr>
          <w:rFonts w:ascii="Arial" w:cs="Arial" w:eastAsia="Arial" w:hAnsi="Arial"/>
          <w:sz w:val="18"/>
          <w:szCs w:val="18"/>
          <w:b w:val="1"/>
          <w:bCs w:val="1"/>
          <w:color w:val="auto"/>
        </w:rPr>
        <w:t>April 15, 2009</w:t>
      </w:r>
      <w:r>
        <w:rPr>
          <w:rFonts w:ascii="Arial" w:cs="Arial" w:eastAsia="Arial" w:hAnsi="Arial"/>
          <w:sz w:val="18"/>
          <w:szCs w:val="18"/>
          <w:color w:val="auto"/>
        </w:rPr>
        <w:t xml:space="preserve"> among the following parties in Hangzhou:</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(Hangzhou) Network Co., Ltd.</w:t>
      </w:r>
    </w:p>
    <w:p>
      <w:pPr>
        <w:spacing w:after="0" w:line="211" w:lineRule="exact"/>
        <w:rPr>
          <w:sz w:val="20"/>
          <w:szCs w:val="20"/>
          <w:color w:val="auto"/>
        </w:rPr>
      </w:pPr>
    </w:p>
    <w:p>
      <w:pPr>
        <w:sectPr>
          <w:pgSz w:w="11900" w:h="16838" w:orient="portrait"/>
          <w:cols w:equalWidth="0" w:num="2">
            <w:col w:w="920" w:space="720"/>
            <w:col w:w="97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Room 103-105, 1/F, Building 18, No.1 Jiaogong Road, Hangzhou, Zhejiang Province, P. R. China</w:t>
      </w:r>
    </w:p>
    <w:p>
      <w:pPr>
        <w:spacing w:after="0" w:line="200" w:lineRule="exact"/>
        <w:rPr>
          <w:sz w:val="20"/>
          <w:szCs w:val="20"/>
          <w:color w:val="auto"/>
        </w:rPr>
      </w:pPr>
    </w:p>
    <w:p>
      <w:pPr>
        <w:sectPr>
          <w:pgSz w:w="11900" w:h="16838" w:orient="portrait"/>
          <w:cols w:equalWidth="0" w:num="2">
            <w:col w:w="1160" w:space="480"/>
            <w:col w:w="9780"/>
          </w:cols>
          <w:pgMar w:left="240" w:top="121" w:right="23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Number: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Chen Gang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330106197310300431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No.38 Zheda Road, West Lake District, Hangzhou, Zhejiang Province, P. R. China</w:t>
      </w:r>
    </w:p>
    <w:p>
      <w:pPr>
        <w:spacing w:after="0" w:line="200" w:lineRule="exact"/>
        <w:rPr>
          <w:sz w:val="20"/>
          <w:szCs w:val="20"/>
          <w:color w:val="auto"/>
        </w:rPr>
      </w:pPr>
    </w:p>
    <w:p>
      <w:pPr>
        <w:sectPr>
          <w:pgSz w:w="11900" w:h="16838" w:orient="portrait"/>
          <w:cols w:equalWidth="0" w:num="2">
            <w:col w:w="1160" w:space="480"/>
            <w:col w:w="978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Hangzhou Leihuo Network Co., Ltd.</w:t>
      </w:r>
    </w:p>
    <w:p>
      <w:pPr>
        <w:spacing w:after="0" w:line="211" w:lineRule="exact"/>
        <w:rPr>
          <w:sz w:val="20"/>
          <w:szCs w:val="20"/>
          <w:color w:val="auto"/>
        </w:rPr>
      </w:pPr>
    </w:p>
    <w:p>
      <w:pPr>
        <w:sectPr>
          <w:pgSz w:w="11900" w:h="16838" w:orient="portrait"/>
          <w:cols w:equalWidth="0" w:num="2">
            <w:col w:w="920" w:space="720"/>
            <w:col w:w="97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Room 601-603, 6/F, Building 18, No.1 Jiaogong Road, West Lake District, Hangzhou, Zhejiang Province, P. R. China</w:t>
      </w:r>
    </w:p>
    <w:p>
      <w:pPr>
        <w:spacing w:after="0" w:line="200" w:lineRule="exact"/>
        <w:rPr>
          <w:sz w:val="20"/>
          <w:szCs w:val="20"/>
          <w:color w:val="auto"/>
        </w:rPr>
      </w:pPr>
    </w:p>
    <w:p>
      <w:pPr>
        <w:sectPr>
          <w:pgSz w:w="11900" w:h="16838" w:orient="portrait"/>
          <w:cols w:equalWidth="0" w:num="2">
            <w:col w:w="1160" w:space="480"/>
            <w:col w:w="9780"/>
          </w:cols>
          <w:pgMar w:left="240" w:top="121"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under the laws of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Party C a limited liability company incorporated in the PRC;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50% of the equity interest in Party C (the “</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Party A and Party B entered into a loan agreement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on March 23, 2009, pursuant to which Party A made a loan to Party B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so that Party B could invest the proceeds from the Loan in Party C as a capital contribution; and</w:t>
      </w:r>
    </w:p>
    <w:p>
      <w:pPr>
        <w:spacing w:after="0" w:line="170" w:lineRule="exact"/>
        <w:rPr>
          <w:rFonts w:ascii="Arial" w:cs="Arial" w:eastAsia="Arial" w:hAnsi="Arial"/>
          <w:sz w:val="18"/>
          <w:szCs w:val="18"/>
          <w:color w:val="auto"/>
        </w:rPr>
      </w:pPr>
    </w:p>
    <w:p>
      <w:pPr>
        <w:ind w:left="660" w:right="2540" w:hanging="652"/>
        <w:spacing w:after="0" w:line="530"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Party A and Party B entered into an equity pledge agreement (the “</w:t>
      </w:r>
      <w:r>
        <w:rPr>
          <w:rFonts w:ascii="Arial" w:cs="Arial" w:eastAsia="Arial" w:hAnsi="Arial"/>
          <w:sz w:val="17"/>
          <w:szCs w:val="17"/>
          <w:b w:val="1"/>
          <w:bCs w:val="1"/>
          <w:i w:val="1"/>
          <w:iCs w:val="1"/>
          <w:color w:val="auto"/>
        </w:rPr>
        <w:t>Equity Pledge Agreement</w:t>
      </w:r>
      <w:r>
        <w:rPr>
          <w:rFonts w:ascii="Arial" w:cs="Arial" w:eastAsia="Arial" w:hAnsi="Arial"/>
          <w:sz w:val="17"/>
          <w:szCs w:val="17"/>
          <w:color w:val="auto"/>
        </w:rPr>
        <w:t xml:space="preserve">”) on April 15, 2009. </w:t>
      </w:r>
      <w:r>
        <w:rPr>
          <w:rFonts w:ascii="Arial" w:cs="Arial" w:eastAsia="Arial" w:hAnsi="Arial"/>
          <w:sz w:val="17"/>
          <w:szCs w:val="17"/>
          <w:b w:val="1"/>
          <w:bCs w:val="1"/>
          <w:color w:val="auto"/>
        </w:rPr>
        <w:t>NOW, THEREFORE</w:t>
      </w:r>
      <w:r>
        <w:rPr>
          <w:rFonts w:ascii="Arial" w:cs="Arial" w:eastAsia="Arial" w:hAnsi="Arial"/>
          <w:sz w:val="17"/>
          <w:szCs w:val="17"/>
          <w:color w:val="auto"/>
        </w:rPr>
        <w:t>, through negotiations, all parties to this Agreement hereby agree as follows:</w:t>
      </w:r>
    </w:p>
    <w:p>
      <w:pPr>
        <w:spacing w:after="0" w:line="1"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i w:val="1"/>
          <w:i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i w:val="1"/>
          <w:i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6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i w:val="1"/>
          <w:i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i w:val="1"/>
          <w:i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257" w:lineRule="auto"/>
        <w:rPr>
          <w:sz w:val="20"/>
          <w:szCs w:val="20"/>
          <w:color w:val="auto"/>
        </w:rPr>
      </w:pPr>
      <w:r>
        <w:rPr>
          <w:rFonts w:ascii="Arial" w:cs="Arial" w:eastAsia="Arial" w:hAnsi="Arial"/>
          <w:sz w:val="18"/>
          <w:szCs w:val="18"/>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Arial" w:cs="Arial" w:eastAsia="Arial" w:hAnsi="Arial"/>
          <w:sz w:val="18"/>
          <w:szCs w:val="18"/>
          <w:b w:val="1"/>
          <w:bCs w:val="1"/>
          <w:i w:val="1"/>
          <w:iCs w:val="1"/>
          <w:color w:val="auto"/>
        </w:rPr>
        <w:t>Purchased Interest</w:t>
      </w:r>
      <w:r>
        <w:rPr>
          <w:rFonts w:ascii="Arial" w:cs="Arial" w:eastAsia="Arial" w:hAnsi="Arial"/>
          <w:sz w:val="18"/>
          <w:szCs w:val="18"/>
          <w:color w:val="auto"/>
        </w:rPr>
        <w:t>”) and the manner of such purchase.</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Transferor Obligations</w:t>
      </w:r>
    </w:p>
    <w:p>
      <w:pPr>
        <w:sectPr>
          <w:pgSz w:w="11900" w:h="16838" w:orient="portrait"/>
          <w:cols w:equalWidth="0" w:num="1">
            <w:col w:w="11420"/>
          </w:cols>
          <w:pgMar w:left="240" w:top="121" w:right="239" w:bottom="0" w:gutter="0" w:footer="0" w:header="0"/>
          <w:type w:val="continuous"/>
        </w:sectPr>
      </w:pPr>
    </w:p>
    <w:bookmarkStart w:id="135" w:name="page136"/>
    <w:bookmarkEnd w:id="135"/>
    <w:p>
      <w:pPr>
        <w:spacing w:after="0" w:line="90"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5" w:lineRule="exact"/>
        <w:rPr>
          <w:sz w:val="20"/>
          <w:szCs w:val="20"/>
          <w:color w:val="auto"/>
        </w:rPr>
      </w:pPr>
    </w:p>
    <w:p>
      <w:pPr>
        <w:ind w:left="1932" w:hanging="647"/>
        <w:spacing w:after="0" w:line="257" w:lineRule="auto"/>
        <w:tabs>
          <w:tab w:leader="none" w:pos="1912" w:val="left"/>
        </w:tabs>
        <w:rPr>
          <w:sz w:val="20"/>
          <w:szCs w:val="20"/>
          <w:color w:val="auto"/>
        </w:rPr>
      </w:pPr>
      <w:r>
        <w:rPr>
          <w:rFonts w:ascii="Arial" w:cs="Arial" w:eastAsia="Arial" w:hAnsi="Arial"/>
          <w:sz w:val="18"/>
          <w:szCs w:val="18"/>
          <w:color w:val="auto"/>
        </w:rPr>
        <w:t>1.3.1</w:t>
        <w:tab/>
        <w:t>If Party A exercises either Option, the purchase price of the Purchased Interest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be: (i) in the case of the Equity Option, equal to the original paid-in capital paid by the Transferor for such Equity Interest, and (ii) in the case of the Asset Option, equal to the net book value of the assets as shown in Party C’s financial statements, unless, in either case (i) or (ii), the then applicable PRC laws and regulations require appraisal of the Purchased Interest or stipulate other restrictions on the Purchase Price.</w:t>
      </w:r>
    </w:p>
    <w:p>
      <w:pPr>
        <w:spacing w:after="0" w:line="188" w:lineRule="exact"/>
        <w:rPr>
          <w:sz w:val="20"/>
          <w:szCs w:val="20"/>
          <w:color w:val="auto"/>
        </w:rPr>
      </w:pPr>
    </w:p>
    <w:p>
      <w:pPr>
        <w:ind w:left="1932" w:right="220" w:hanging="647"/>
        <w:spacing w:after="0" w:line="264" w:lineRule="auto"/>
        <w:tabs>
          <w:tab w:leader="none" w:pos="1912" w:val="left"/>
        </w:tabs>
        <w:rPr>
          <w:sz w:val="20"/>
          <w:szCs w:val="20"/>
          <w:color w:val="auto"/>
        </w:rPr>
      </w:pPr>
      <w:r>
        <w:rPr>
          <w:rFonts w:ascii="Arial" w:cs="Arial" w:eastAsia="Arial" w:hAnsi="Arial"/>
          <w:sz w:val="18"/>
          <w:szCs w:val="18"/>
          <w:color w:val="auto"/>
        </w:rPr>
        <w:t>1.3.2</w:t>
        <w:tab/>
        <w:t>If the applicable PRC laws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i w:val="1"/>
          <w:i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i w:val="1"/>
          <w:i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100"/>
        <w:spacing w:after="0" w:line="293" w:lineRule="auto"/>
        <w:rPr>
          <w:sz w:val="20"/>
          <w:szCs w:val="20"/>
          <w:color w:val="auto"/>
        </w:rPr>
      </w:pPr>
      <w:r>
        <w:rPr>
          <w:rFonts w:ascii="Arial" w:cs="Arial" w:eastAsia="Arial" w:hAnsi="Arial"/>
          <w:sz w:val="16"/>
          <w:szCs w:val="16"/>
          <w:color w:val="auto"/>
        </w:rPr>
        <w:t>Each time Party A exercises the Equity Option, the Purchase Price that is payable by Party A and/or the Designated Persons to the Transferor in connection with the Purchased Interest shall be used, pursuant to Article 5(a) of the Loan Agreement, to offset the amount outstanding on the Loan (with such offset applied to the principal, interest and capital utilization costs for the Loan as set forth in Article 6 of the Loan Agreement), provided that if there is any tax paid or payable by Party B in connection with the transfer of the Purchased Interest in accordance with this Agreement, then a portion of the Purchase Price equal to the amount of such tax shall be paid to Party B in cash and not applied as an offset to the amount outstanding on the Loan.</w:t>
      </w:r>
    </w:p>
    <w:p>
      <w:pPr>
        <w:spacing w:after="0" w:line="16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652" w:hanging="652"/>
        <w:spacing w:after="0"/>
        <w:tabs>
          <w:tab w:leader="none" w:pos="65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rFonts w:ascii="Arial" w:cs="Arial" w:eastAsia="Arial" w:hAnsi="Arial"/>
          <w:sz w:val="18"/>
          <w:szCs w:val="18"/>
          <w:color w:val="auto"/>
        </w:rPr>
      </w:pPr>
    </w:p>
    <w:p>
      <w:pPr>
        <w:ind w:left="1292" w:right="6720" w:hanging="648"/>
        <w:spacing w:after="0" w:line="563"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Covenants Relating to Party B and Party C Each of Party B and Party C hereby covenants:</w:t>
      </w:r>
    </w:p>
    <w:p>
      <w:pPr>
        <w:spacing w:after="0" w:line="1" w:lineRule="exact"/>
        <w:rPr>
          <w:sz w:val="20"/>
          <w:szCs w:val="20"/>
          <w:color w:val="auto"/>
        </w:rPr>
      </w:pPr>
    </w:p>
    <w:p>
      <w:pPr>
        <w:ind w:left="1932" w:right="20" w:hanging="647"/>
        <w:spacing w:after="0" w:line="277" w:lineRule="auto"/>
        <w:tabs>
          <w:tab w:leader="none" w:pos="1912"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pacing w:after="0" w:line="170" w:lineRule="exact"/>
        <w:rPr>
          <w:sz w:val="20"/>
          <w:szCs w:val="20"/>
          <w:color w:val="auto"/>
        </w:rPr>
      </w:pPr>
    </w:p>
    <w:p>
      <w:pPr>
        <w:ind w:left="1932" w:right="180" w:hanging="647"/>
        <w:spacing w:after="0" w:line="277" w:lineRule="auto"/>
        <w:tabs>
          <w:tab w:leader="none" w:pos="1912"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ectPr>
          <w:pgSz w:w="11900" w:h="16929" w:orient="portrait"/>
          <w:cols w:equalWidth="0" w:num="1">
            <w:col w:w="11412"/>
          </w:cols>
          <w:pgMar w:left="248" w:top="125" w:right="239" w:bottom="0" w:gutter="0" w:footer="0" w:header="0"/>
        </w:sectPr>
      </w:pPr>
    </w:p>
    <w:bookmarkStart w:id="136" w:name="page137"/>
    <w:bookmarkEnd w:id="136"/>
    <w:p>
      <w:pPr>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1280" w:right="120" w:hanging="647"/>
        <w:spacing w:after="0" w:line="264" w:lineRule="auto"/>
        <w:tabs>
          <w:tab w:leader="none" w:pos="12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00" w:hanging="647"/>
        <w:spacing w:after="0" w:line="277" w:lineRule="auto"/>
        <w:tabs>
          <w:tab w:leader="none" w:pos="12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1280" w:hanging="647"/>
        <w:spacing w:after="0" w:line="342" w:lineRule="auto"/>
        <w:tabs>
          <w:tab w:leader="none" w:pos="12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1280" w:right="160" w:hanging="647"/>
        <w:spacing w:after="0" w:line="264" w:lineRule="auto"/>
        <w:tabs>
          <w:tab w:leader="none" w:pos="12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1280" w:hanging="647"/>
        <w:spacing w:after="0" w:line="277" w:lineRule="auto"/>
        <w:tabs>
          <w:tab w:leader="none" w:pos="12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1280" w:right="600" w:hanging="647"/>
        <w:spacing w:after="0" w:line="264" w:lineRule="auto"/>
        <w:tabs>
          <w:tab w:leader="none" w:pos="12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1280" w:right="260" w:hanging="647"/>
        <w:spacing w:after="0" w:line="277" w:lineRule="auto"/>
        <w:tabs>
          <w:tab w:leader="none" w:pos="12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20" w:hanging="647"/>
        <w:spacing w:after="0" w:line="259" w:lineRule="auto"/>
        <w:tabs>
          <w:tab w:leader="none" w:pos="12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1280" w:right="120" w:hanging="647"/>
        <w:spacing w:after="0" w:line="277" w:lineRule="auto"/>
        <w:tabs>
          <w:tab w:leader="none" w:pos="12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1280" w:right="420" w:hanging="647"/>
        <w:spacing w:after="0" w:line="277" w:lineRule="auto"/>
        <w:tabs>
          <w:tab w:leader="none" w:pos="12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jc w:val="both"/>
        <w:ind w:left="1280" w:right="120" w:hanging="647"/>
        <w:spacing w:after="0" w:line="264" w:lineRule="auto"/>
        <w:tabs>
          <w:tab w:leader="none" w:pos="1260" w:val="left"/>
        </w:tabs>
        <w:rPr>
          <w:sz w:val="20"/>
          <w:szCs w:val="20"/>
          <w:color w:val="auto"/>
        </w:rPr>
      </w:pPr>
      <w:r>
        <w:rPr>
          <w:rFonts w:ascii="Arial" w:cs="Arial" w:eastAsia="Arial" w:hAnsi="Arial"/>
          <w:sz w:val="18"/>
          <w:szCs w:val="18"/>
          <w:color w:val="auto"/>
        </w:rPr>
        <w:t>2.2.8</w:t>
        <w:tab/>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p>
      <w:pPr>
        <w:sectPr>
          <w:pgSz w:w="11900" w:h="16838" w:orient="portrait"/>
          <w:cols w:equalWidth="0" w:num="1">
            <w:col w:w="10760"/>
          </w:cols>
          <w:pgMar w:left="900" w:top="341" w:right="239" w:bottom="0" w:gutter="0" w:footer="0" w:header="0"/>
        </w:sectPr>
      </w:pPr>
    </w:p>
    <w:bookmarkStart w:id="137" w:name="page138"/>
    <w:bookmarkEnd w:id="137"/>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ind w:left="652" w:hanging="652"/>
        <w:spacing w:after="0"/>
        <w:tabs>
          <w:tab w:leader="none" w:pos="65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rFonts w:ascii="Arial" w:cs="Arial" w:eastAsia="Arial" w:hAnsi="Arial"/>
          <w:sz w:val="18"/>
          <w:szCs w:val="18"/>
          <w:color w:val="auto"/>
        </w:rPr>
      </w:pPr>
    </w:p>
    <w:p>
      <w:pPr>
        <w:ind w:left="652" w:right="580"/>
        <w:spacing w:after="0" w:line="277" w:lineRule="auto"/>
        <w:rPr>
          <w:rFonts w:ascii="Arial" w:cs="Arial" w:eastAsia="Arial" w:hAnsi="Arial"/>
          <w:sz w:val="18"/>
          <w:szCs w:val="18"/>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rFonts w:ascii="Arial" w:cs="Arial" w:eastAsia="Arial" w:hAnsi="Arial"/>
          <w:sz w:val="18"/>
          <w:szCs w:val="18"/>
          <w:color w:val="auto"/>
        </w:rPr>
      </w:pPr>
    </w:p>
    <w:p>
      <w:pPr>
        <w:ind w:left="1292" w:right="140" w:hanging="648"/>
        <w:spacing w:after="0" w:line="259" w:lineRule="auto"/>
        <w:rPr>
          <w:rFonts w:ascii="Arial" w:cs="Arial" w:eastAsia="Arial" w:hAnsi="Arial"/>
          <w:sz w:val="18"/>
          <w:szCs w:val="18"/>
          <w:color w:val="auto"/>
        </w:rPr>
      </w:pPr>
      <w:r>
        <w:rPr>
          <w:rFonts w:ascii="Arial" w:cs="Arial" w:eastAsia="Arial" w:hAnsi="Arial"/>
          <w:sz w:val="18"/>
          <w:szCs w:val="18"/>
          <w:color w:val="auto"/>
        </w:rPr>
        <w:t>3.1It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hanging="647"/>
        <w:spacing w:after="0" w:line="257" w:lineRule="auto"/>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292" w:right="240" w:hanging="647"/>
        <w:spacing w:after="0" w:line="277" w:lineRule="auto"/>
        <w:tabs>
          <w:tab w:leader="none" w:pos="12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292" w:right="340" w:hanging="647"/>
        <w:spacing w:after="0" w:line="277" w:lineRule="auto"/>
        <w:tabs>
          <w:tab w:leader="none" w:pos="12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rFonts w:ascii="Arial" w:cs="Arial" w:eastAsia="Arial" w:hAnsi="Arial"/>
          <w:sz w:val="18"/>
          <w:szCs w:val="18"/>
          <w:color w:val="auto"/>
        </w:rPr>
      </w:pPr>
    </w:p>
    <w:p>
      <w:pPr>
        <w:ind w:left="1292"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4.1Party B and Party C shall not assign their rights and obligations under this Agreement to any third party without the prior written consent of Party A.</w:t>
      </w:r>
    </w:p>
    <w:p>
      <w:pPr>
        <w:spacing w:after="0" w:line="170" w:lineRule="exact"/>
        <w:rPr>
          <w:rFonts w:ascii="Arial" w:cs="Arial" w:eastAsia="Arial" w:hAnsi="Arial"/>
          <w:sz w:val="18"/>
          <w:szCs w:val="18"/>
          <w:color w:val="auto"/>
        </w:rPr>
      </w:pPr>
    </w:p>
    <w:p>
      <w:pPr>
        <w:ind w:left="1292"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4.2Party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This Agreement shall be effective as of the date first set forth above.</w:t>
      </w:r>
    </w:p>
    <w:p>
      <w:pPr>
        <w:spacing w:after="0" w:line="225" w:lineRule="exact"/>
        <w:rPr>
          <w:rFonts w:ascii="Arial" w:cs="Arial" w:eastAsia="Arial" w:hAnsi="Arial"/>
          <w:sz w:val="18"/>
          <w:szCs w:val="18"/>
          <w:color w:val="auto"/>
        </w:rPr>
      </w:pPr>
    </w:p>
    <w:p>
      <w:pPr>
        <w:ind w:left="1292" w:hanging="648"/>
        <w:spacing w:after="0" w:line="264" w:lineRule="auto"/>
        <w:rPr>
          <w:rFonts w:ascii="Arial" w:cs="Arial" w:eastAsia="Arial" w:hAnsi="Arial"/>
          <w:sz w:val="18"/>
          <w:szCs w:val="18"/>
          <w:color w:val="auto"/>
        </w:rPr>
      </w:pPr>
      <w:r>
        <w:rPr>
          <w:rFonts w:ascii="Arial" w:cs="Arial" w:eastAsia="Arial" w:hAnsi="Arial"/>
          <w:sz w:val="18"/>
          <w:szCs w:val="18"/>
          <w:color w:val="auto"/>
        </w:rPr>
        <w:t>5.2The term of this Agreement is twenty (20) years unless terminated earlier in accordance with the provisions of this Agreement or related agreements entered into by the Parties. This Agreement may be extended with the written consent of Party A before its expiration. The term of the extension shall be decided by the Parties through negotiation.</w:t>
      </w:r>
    </w:p>
    <w:p>
      <w:pPr>
        <w:spacing w:after="0" w:line="181" w:lineRule="exact"/>
        <w:rPr>
          <w:sz w:val="20"/>
          <w:szCs w:val="20"/>
          <w:color w:val="auto"/>
        </w:rPr>
      </w:pPr>
    </w:p>
    <w:p>
      <w:pPr>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duration of operation (including any extension thereof) of Party A or Party C is expired or terminated for other reasons within the term set forth in Article 5.2, this Agreement shall be terminated simultaneously, except in the situation where Party A has assigned its rights and obligations in accordance with Article 4.2 hereof.</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257" w:lineRule="auto"/>
        <w:rPr>
          <w:sz w:val="20"/>
          <w:szCs w:val="20"/>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ectPr>
          <w:pgSz w:w="11900" w:h="16838" w:orient="portrait"/>
          <w:cols w:equalWidth="0" w:num="1">
            <w:col w:w="11372"/>
          </w:cols>
          <w:pgMar w:left="248" w:top="125" w:right="279" w:bottom="0" w:gutter="0" w:footer="0" w:header="0"/>
        </w:sectPr>
      </w:pPr>
    </w:p>
    <w:bookmarkStart w:id="138" w:name="page139"/>
    <w:bookmarkEnd w:id="138"/>
    <w:p>
      <w:pPr>
        <w:spacing w:after="0" w:line="35" w:lineRule="exact"/>
        <w:rPr>
          <w:sz w:val="20"/>
          <w:szCs w:val="20"/>
          <w:color w:val="auto"/>
        </w:rPr>
      </w:pPr>
    </w:p>
    <w:p>
      <w:pPr>
        <w:ind w:left="652" w:hanging="652"/>
        <w:spacing w:after="0"/>
        <w:tabs>
          <w:tab w:leader="none" w:pos="6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52" w:right="100"/>
        <w:spacing w:after="0" w:line="259" w:lineRule="auto"/>
        <w:rPr>
          <w:rFonts w:ascii="Arial" w:cs="Arial" w:eastAsia="Arial" w:hAnsi="Arial"/>
          <w:sz w:val="18"/>
          <w:szCs w:val="18"/>
          <w:color w:val="auto"/>
        </w:rPr>
      </w:pPr>
      <w:r>
        <w:rPr>
          <w:rFonts w:ascii="Arial" w:cs="Arial" w:eastAsia="Arial" w:hAnsi="Arial"/>
          <w:sz w:val="18"/>
          <w:szCs w:val="18"/>
          <w:color w:val="auto"/>
        </w:rPr>
        <w:t>Except for the portion of the Purchase Price payable in cash to Party B for taxes, as set forth in Article 1.5.1 of this Agreement, every Party shall, in accordance with PRC laws, bear any and all transfer and registration taxes, expenses and charges incurred by or levied on it with respect to the preparation and execution of this Agreement and each Transfer Agreement and the consummation of the transactions contemplated under this Agreement and each Transfer Agreement.</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rFonts w:ascii="Arial" w:cs="Arial" w:eastAsia="Arial" w:hAnsi="Arial"/>
          <w:sz w:val="18"/>
          <w:szCs w:val="18"/>
          <w:color w:val="auto"/>
        </w:rPr>
      </w:pPr>
    </w:p>
    <w:p>
      <w:pPr>
        <w:ind w:left="1292" w:right="40" w:hanging="648"/>
        <w:spacing w:after="0" w:line="286"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w:t>
      </w:r>
    </w:p>
    <w:p>
      <w:pPr>
        <w:spacing w:after="0" w:line="1" w:lineRule="exact"/>
        <w:rPr>
          <w:rFonts w:ascii="Arial" w:cs="Arial" w:eastAsia="Arial" w:hAnsi="Arial"/>
          <w:sz w:val="18"/>
          <w:szCs w:val="18"/>
          <w:color w:val="auto"/>
        </w:rPr>
      </w:pPr>
    </w:p>
    <w:p>
      <w:pPr>
        <w:ind w:left="1292" w:right="160" w:firstLine="5"/>
        <w:spacing w:after="0" w:line="254" w:lineRule="auto"/>
        <w:tabs>
          <w:tab w:leader="none" w:pos="153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9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Modification or Supplement</w:t>
      </w:r>
    </w:p>
    <w:p>
      <w:pPr>
        <w:spacing w:after="0" w:line="225" w:lineRule="exact"/>
        <w:rPr>
          <w:sz w:val="20"/>
          <w:szCs w:val="20"/>
          <w:color w:val="auto"/>
        </w:rPr>
      </w:pPr>
    </w:p>
    <w:p>
      <w:pPr>
        <w:ind w:left="1292" w:right="1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292" w:right="1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292" w:right="1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292" w:right="7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Language and Copies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This Agreement is executed in English in three copies; each Party holds one copy and each copy has the same legal effect.</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292" w:right="1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292" w:right="5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and 9 and this Article 10.7 shall survive the termination of this Agreement.</w:t>
      </w:r>
    </w:p>
    <w:p>
      <w:pPr>
        <w:spacing w:after="0" w:line="124"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Waiver</w:t>
      </w:r>
    </w:p>
    <w:p>
      <w:pPr>
        <w:sectPr>
          <w:pgSz w:w="11900" w:h="16874" w:orient="portrait"/>
          <w:cols w:equalWidth="0" w:num="1">
            <w:col w:w="11392"/>
          </w:cols>
          <w:pgMar w:left="248" w:top="125" w:right="259" w:bottom="0" w:gutter="0" w:footer="0" w:header="0"/>
        </w:sectPr>
      </w:pPr>
    </w:p>
    <w:bookmarkStart w:id="139" w:name="page140"/>
    <w:bookmarkEnd w:id="139"/>
    <w:p>
      <w:pPr>
        <w:ind w:left="1300" w:right="16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gridSpan w:val="2"/>
          </w:tcPr>
          <w:p>
            <w:pPr>
              <w:jc w:val="center"/>
              <w:ind w:right="4500"/>
              <w:spacing w:after="0"/>
              <w:rPr>
                <w:sz w:val="20"/>
                <w:szCs w:val="20"/>
                <w:color w:val="auto"/>
              </w:rPr>
            </w:pPr>
            <w:r>
              <w:rPr>
                <w:rFonts w:ascii="Arial" w:cs="Arial" w:eastAsia="Arial" w:hAnsi="Arial"/>
                <w:sz w:val="18"/>
                <w:szCs w:val="18"/>
                <w:color w:val="auto"/>
                <w:w w:val="92"/>
              </w:rPr>
              <w:t>[No text below on this page]</w:t>
            </w:r>
          </w:p>
        </w:tc>
      </w:tr>
      <w:tr>
        <w:trPr>
          <w:trHeight w:val="432"/>
        </w:trPr>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gridSpan w:val="2"/>
          </w:tcPr>
          <w:p>
            <w:pPr>
              <w:jc w:val="center"/>
              <w:ind w:right="390"/>
              <w:spacing w:after="0"/>
              <w:rPr>
                <w:sz w:val="20"/>
                <w:szCs w:val="20"/>
                <w:color w:val="auto"/>
              </w:rPr>
            </w:pPr>
            <w:r>
              <w:rPr>
                <w:rFonts w:ascii="Arial" w:cs="Arial" w:eastAsia="Arial" w:hAnsi="Arial"/>
                <w:sz w:val="18"/>
                <w:szCs w:val="18"/>
                <w:color w:val="auto"/>
                <w:w w:val="89"/>
              </w:rPr>
              <w:t>10</w:t>
            </w:r>
          </w:p>
        </w:tc>
        <w:tc>
          <w:tcPr>
            <w:tcW w:w="388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r>
      <w:tr>
        <w:trPr>
          <w:trHeight w:val="780"/>
        </w:trPr>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gridSpan w:val="2"/>
          </w:tcPr>
          <w:p>
            <w:pPr>
              <w:jc w:val="center"/>
              <w:ind w:right="4480"/>
              <w:spacing w:after="0"/>
              <w:rPr>
                <w:sz w:val="20"/>
                <w:szCs w:val="20"/>
                <w:color w:val="auto"/>
              </w:rPr>
            </w:pPr>
            <w:r>
              <w:rPr>
                <w:rFonts w:ascii="Arial" w:cs="Arial" w:eastAsia="Arial" w:hAnsi="Arial"/>
                <w:sz w:val="18"/>
                <w:szCs w:val="18"/>
                <w:color w:val="auto"/>
                <w:w w:val="89"/>
              </w:rPr>
              <w:t>[Signature Page]</w:t>
            </w: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w w:val="94"/>
              </w:rPr>
              <w:t>Party A: NetEase (Hangzhou) Network Co., Ltd. (seal)</w:t>
            </w:r>
          </w:p>
        </w:tc>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color w:val="auto"/>
              </w:rPr>
              <w:t>Legal Representative/Authorized Representative:</w:t>
            </w:r>
          </w:p>
        </w:tc>
        <w:tc>
          <w:tcPr>
            <w:tcW w:w="7140" w:type="dxa"/>
            <w:vAlign w:val="bottom"/>
            <w:gridSpan w:val="3"/>
          </w:tcPr>
          <w:p>
            <w:pPr>
              <w:ind w:left="140"/>
              <w:spacing w:after="0"/>
              <w:rPr>
                <w:sz w:val="20"/>
                <w:szCs w:val="20"/>
                <w:color w:val="auto"/>
              </w:rPr>
            </w:pPr>
            <w:r>
              <w:rPr>
                <w:rFonts w:ascii="Arial" w:cs="Arial" w:eastAsia="Arial" w:hAnsi="Arial"/>
                <w:sz w:val="18"/>
                <w:szCs w:val="18"/>
                <w:color w:val="auto"/>
              </w:rPr>
              <w:t>/s/ William Lei Ding</w:t>
            </w:r>
          </w:p>
        </w:tc>
      </w:tr>
      <w:tr>
        <w:trPr>
          <w:trHeight w:val="628"/>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Party B: Chen Gang</w:t>
            </w:r>
          </w:p>
        </w:tc>
        <w:tc>
          <w:tcPr>
            <w:tcW w:w="14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2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Chen Gang</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628"/>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w w:val="99"/>
              </w:rPr>
              <w:t>Party C: Hangzhou Leihuo Network Co., Ltd. (seal)</w:t>
            </w:r>
          </w:p>
        </w:tc>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color w:val="auto"/>
              </w:rPr>
              <w:t>Legal Representative/Authorized Representative:</w:t>
            </w:r>
          </w:p>
        </w:tc>
        <w:tc>
          <w:tcPr>
            <w:tcW w:w="7140" w:type="dxa"/>
            <w:vAlign w:val="bottom"/>
            <w:gridSpan w:val="3"/>
          </w:tcPr>
          <w:p>
            <w:pPr>
              <w:ind w:left="140"/>
              <w:spacing w:after="0"/>
              <w:rPr>
                <w:sz w:val="20"/>
                <w:szCs w:val="20"/>
                <w:color w:val="auto"/>
              </w:rPr>
            </w:pPr>
            <w:r>
              <w:rPr>
                <w:rFonts w:ascii="Arial" w:cs="Arial" w:eastAsia="Arial" w:hAnsi="Arial"/>
                <w:sz w:val="18"/>
                <w:szCs w:val="18"/>
                <w:color w:val="auto"/>
              </w:rPr>
              <w:t>/s/ William Lei Ding</w:t>
            </w:r>
          </w:p>
        </w:tc>
      </w:tr>
      <w:tr>
        <w:trPr>
          <w:trHeight w:val="426"/>
        </w:trPr>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w w:val="89"/>
              </w:rPr>
              <w:t>11</w:t>
            </w:r>
          </w:p>
        </w:tc>
        <w:tc>
          <w:tcPr>
            <w:tcW w:w="388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-2825115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-2825115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t>
      </w:r>
      <w:r>
        <w:rPr>
          <w:rFonts w:ascii="Arial" w:cs="Arial" w:eastAsia="Arial" w:hAnsi="Arial"/>
          <w:sz w:val="18"/>
          <w:szCs w:val="18"/>
          <w:i w:val="1"/>
          <w:iCs w:val="1"/>
          <w:color w:val="auto"/>
        </w:rPr>
        <w:t>Transferor)</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Exclusive Purchase Option Agreement between us executed on [</w:t>
      </w:r>
      <w:r>
        <w:rPr>
          <w:rFonts w:ascii="Arial" w:cs="Arial" w:eastAsia="Arial" w:hAnsi="Arial"/>
          <w:sz w:val="18"/>
          <w:szCs w:val="18"/>
          <w:i w:val="1"/>
          <w:iCs w:val="1"/>
          <w:color w:val="auto"/>
        </w:rPr>
        <w:t>April 15, 2009</w:t>
      </w:r>
      <w:r>
        <w:rPr>
          <w:rFonts w:ascii="Arial" w:cs="Arial" w:eastAsia="Arial" w:hAnsi="Arial"/>
          <w:sz w:val="18"/>
          <w:szCs w:val="18"/>
          <w:color w:val="auto"/>
        </w:rPr>
        <w: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you agreed to transfer to us or our Designated Person(s) certain equity interests or assets upon notice from us.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 __% of the shares in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the assets of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 / The following assets of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3"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In consideration for the Purchased Interest, the Purchase Price (as defined in Article 1.3 of the Option Agreement) of the Purchased Interest will be [RMB _____________]. We shall handle payment of the Purchase Price pursuant to Article 1.5 of the Option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assist us in arranging for the transfer of the Purchased Interest to [</w:t>
      </w:r>
      <w:r>
        <w:rPr>
          <w:rFonts w:ascii="Arial" w:cs="Arial" w:eastAsia="Arial" w:hAnsi="Arial"/>
          <w:sz w:val="18"/>
          <w:szCs w:val="18"/>
          <w:i w:val="1"/>
          <w:iCs w:val="1"/>
          <w:color w:val="auto"/>
        </w:rPr>
        <w:t>us / our Designated Person(s), which is/are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  Such transfer should occur no later than forty-five (45) business days after the date hereof</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[NetEase (Hangzhou) Network Co.,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Power of Attorney</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 / We] hereby irrevocably appoint _______________________________________, holder of [passport / PRC identification] number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as [my / our] proxy, to sign and deliver any and all legal documents that are necessary or useful to effect any exercise of an option to</w:t>
      </w:r>
    </w:p>
    <w:p>
      <w:pPr>
        <w:spacing w:after="0" w:line="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purchase any equity interests or assets pursuant to the Exclusive Purchase Option Agreement between [</w:t>
      </w:r>
      <w:r>
        <w:rPr>
          <w:rFonts w:ascii="Arial" w:cs="Arial" w:eastAsia="Arial" w:hAnsi="Arial"/>
          <w:sz w:val="18"/>
          <w:szCs w:val="18"/>
          <w:i w:val="1"/>
          <w:iCs w:val="1"/>
          <w:color w:val="auto"/>
        </w:rPr>
        <w:t>NetEase (Hangzhou) Network Co., Ltd.</w:t>
      </w:r>
      <w:r>
        <w:rPr>
          <w:rFonts w:ascii="Arial" w:cs="Arial" w:eastAsia="Arial" w:hAnsi="Arial"/>
          <w:sz w:val="18"/>
          <w:szCs w:val="18"/>
          <w:color w:val="auto"/>
        </w:rPr>
        <w:t>], [</w:t>
      </w:r>
      <w:r>
        <w:rPr>
          <w:rFonts w:ascii="Arial" w:cs="Arial" w:eastAsia="Arial" w:hAnsi="Arial"/>
          <w:sz w:val="18"/>
          <w:szCs w:val="18"/>
          <w:i w:val="1"/>
          <w:iCs w:val="1"/>
          <w:color w:val="auto"/>
        </w:rPr>
        <w:t>Chen Gang</w:t>
      </w:r>
      <w:r>
        <w:rPr>
          <w:rFonts w:ascii="Arial" w:cs="Arial" w:eastAsia="Arial" w:hAnsi="Arial"/>
          <w:sz w:val="18"/>
          <w:szCs w:val="18"/>
          <w:color w:val="auto"/>
        </w:rPr>
        <w:t>] and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 executed on [</w:t>
      </w:r>
      <w:r>
        <w:rPr>
          <w:rFonts w:ascii="Arial" w:cs="Arial" w:eastAsia="Arial" w:hAnsi="Arial"/>
          <w:sz w:val="18"/>
          <w:szCs w:val="18"/>
          <w:i w:val="1"/>
          <w:iCs w:val="1"/>
          <w:color w:val="auto"/>
        </w:rPr>
        <w:t>April 15, 2009</w:t>
      </w:r>
      <w:r>
        <w:rPr>
          <w:rFonts w:ascii="Arial" w:cs="Arial" w:eastAsia="Arial" w:hAnsi="Arial"/>
          <w:sz w:val="18"/>
          <w:szCs w:val="18"/>
          <w:color w:val="auto"/>
        </w:rPr>
        <w:t>].</w:t>
      </w:r>
    </w:p>
    <w:p>
      <w:pPr>
        <w:sectPr>
          <w:pgSz w:w="11900" w:h="16838" w:orient="portrait"/>
          <w:cols w:equalWidth="0" w:num="1">
            <w:col w:w="11460"/>
          </w:cols>
          <w:pgMar w:left="240" w:top="341" w:right="199" w:bottom="0" w:gutter="0" w:footer="0" w:header="0"/>
        </w:sectPr>
      </w:pPr>
    </w:p>
    <w:bookmarkStart w:id="140" w:name="page141"/>
    <w:bookmarkEnd w:id="140"/>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Transfer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Transfer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jointly signed by the Parties on _____ at the offices of [</w:t>
      </w:r>
      <w:r>
        <w:rPr>
          <w:rFonts w:ascii="Arial" w:cs="Arial" w:eastAsia="Arial" w:hAnsi="Arial"/>
          <w:sz w:val="16"/>
          <w:szCs w:val="16"/>
          <w:i w:val="1"/>
          <w:iCs w:val="1"/>
          <w:color w:val="auto"/>
        </w:rPr>
        <w:t>Hangzhou Leihuo Network Co., Ltd.</w:t>
      </w:r>
      <w:r>
        <w:rPr>
          <w:rFonts w:ascii="Arial" w:cs="Arial" w:eastAsia="Arial" w:hAnsi="Arial"/>
          <w:sz w:val="16"/>
          <w:szCs w:val="16"/>
          <w:color w:val="auto"/>
        </w:rPr>
        <w: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ectPr>
          <w:pgSz w:w="11900" w:h="16838" w:orient="portrait"/>
          <w:cols w:equalWidth="0" w:num="1">
            <w:col w:w="11380"/>
          </w:cols>
          <w:pgMar w:left="240" w:top="787" w:right="279" w:bottom="474"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Transferor: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Chen Gang / Hangzhou Leihuo Network Co., Ltd.</w:t>
      </w:r>
      <w:r>
        <w:rPr>
          <w:rFonts w:ascii="Arial" w:cs="Arial" w:eastAsia="Arial" w:hAnsi="Arial"/>
          <w:sz w:val="18"/>
          <w:szCs w:val="18"/>
          <w:color w:val="auto"/>
        </w:rPr>
        <w:t>]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NetEase (Hangzhou) Network Co. Ltd. or designated person(s)</w:t>
      </w:r>
      <w:r>
        <w:rPr>
          <w:rFonts w:ascii="Arial" w:cs="Arial" w:eastAsia="Arial" w:hAnsi="Arial"/>
          <w:sz w:val="16"/>
          <w:szCs w:val="16"/>
          <w:color w:val="auto"/>
        </w:rPr>
        <w:t>] (“</w:t>
      </w:r>
      <w:r>
        <w:rPr>
          <w:rFonts w:ascii="Arial" w:cs="Arial" w:eastAsia="Arial" w:hAnsi="Arial"/>
          <w:sz w:val="16"/>
          <w:szCs w:val="16"/>
          <w:b w:val="1"/>
          <w:bCs w:val="1"/>
          <w:i w:val="1"/>
          <w:iCs w:val="1"/>
          <w:color w:val="auto"/>
        </w:rPr>
        <w:t>Party B</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820" w:space="400"/>
            <w:col w:w="10160"/>
          </w:cols>
          <w:pgMar w:left="240" w:top="787" w:right="279" w:bottom="474"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capital of the Company is [RMB _________], of which Party A contributed [RMB __________], representing [____%] of the</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registered capital of the Company. According to the relevant laws, rules and regulations, upon friendly negotiations between the Parties, and pursuant to the Exclusive Purchase Option Agreement entered into by the Parties on [</w:t>
      </w:r>
      <w:r>
        <w:rPr>
          <w:rFonts w:ascii="Arial" w:cs="Arial" w:eastAsia="Arial" w:hAnsi="Arial"/>
          <w:sz w:val="18"/>
          <w:szCs w:val="18"/>
          <w:i w:val="1"/>
          <w:iCs w:val="1"/>
          <w:color w:val="auto"/>
        </w:rPr>
        <w:t>April 15, 2009</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Exclusive Purchase Option Agreement</w:t>
      </w:r>
      <w:r>
        <w:rPr>
          <w:rFonts w:ascii="Arial" w:cs="Arial" w:eastAsia="Arial" w:hAnsi="Arial"/>
          <w:sz w:val="18"/>
          <w:szCs w:val="18"/>
          <w:color w:val="auto"/>
        </w:rPr>
        <w:t>”), the Parties agree to the following: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Article 1. Subject of Transfer and Purchase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Party A shall transfer to [Party B / Party B’s designated person(s): ____________________] [____% equity interest of the Company /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assets: _________________________________________________________] (the “</w:t>
      </w:r>
      <w:r>
        <w:rPr>
          <w:rFonts w:ascii="Arial" w:cs="Arial" w:eastAsia="Arial" w:hAnsi="Arial"/>
          <w:sz w:val="17"/>
          <w:szCs w:val="17"/>
          <w:b w:val="1"/>
          <w:bCs w:val="1"/>
          <w:i w:val="1"/>
          <w:iCs w:val="1"/>
          <w:color w:val="auto"/>
        </w:rPr>
        <w:t>Transferred Interest</w:t>
      </w:r>
      <w:r>
        <w:rPr>
          <w:rFonts w:ascii="Arial" w:cs="Arial" w:eastAsia="Arial" w:hAnsi="Arial"/>
          <w:sz w:val="17"/>
          <w:szCs w:val="17"/>
          <w:color w:val="auto"/>
        </w:rPr>
        <w:t>”) for the total purchase price of [RMB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380"/>
          </w:cols>
          <w:pgMar w:left="240" w:top="787" w:right="279" w:bottom="474"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Party A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0" w:lineRule="exact"/>
        <w:rPr>
          <w:sz w:val="20"/>
          <w:szCs w:val="20"/>
          <w:color w:val="auto"/>
        </w:rPr>
      </w:pPr>
    </w:p>
    <w:p>
      <w:pPr>
        <w:sectPr>
          <w:pgSz w:w="11900" w:h="16838" w:orient="portrait"/>
          <w:cols w:equalWidth="0" w:num="2">
            <w:col w:w="1440" w:space="480"/>
            <w:col w:w="9460"/>
          </w:cols>
          <w:pgMar w:left="240" w:top="787" w:right="279" w:bottom="474"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0" w:lineRule="exact"/>
        <w:rPr>
          <w:sz w:val="20"/>
          <w:szCs w:val="20"/>
          <w:color w:val="auto"/>
        </w:rPr>
      </w:pPr>
    </w:p>
    <w:p>
      <w:pPr>
        <w:sectPr>
          <w:pgSz w:w="11900" w:h="16838" w:orient="portrait"/>
          <w:cols w:equalWidth="0" w:num="2">
            <w:col w:w="1420" w:space="500"/>
            <w:col w:w="9460"/>
          </w:cols>
          <w:pgMar w:left="240" w:top="787" w:right="279" w:bottom="474" w:gutter="0" w:footer="0" w:header="0"/>
          <w:type w:val="continuous"/>
        </w:sectPr>
      </w:pPr>
    </w:p>
    <w:p>
      <w:pPr>
        <w:spacing w:after="0" w:line="264" w:lineRule="exact"/>
        <w:rPr>
          <w:sz w:val="20"/>
          <w:szCs w:val="20"/>
          <w:color w:val="auto"/>
        </w:rPr>
      </w:pPr>
    </w:p>
    <w:p>
      <w:pPr>
        <w:ind w:left="5720"/>
        <w:spacing w:after="0"/>
        <w:tabs>
          <w:tab w:leader="none" w:pos="700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787" w:right="279" w:bottom="474"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4.30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Purchase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as of </w:t>
      </w:r>
      <w:r>
        <w:rPr>
          <w:rFonts w:ascii="Arial" w:cs="Arial" w:eastAsia="Arial" w:hAnsi="Arial"/>
          <w:sz w:val="18"/>
          <w:szCs w:val="18"/>
          <w:b w:val="1"/>
          <w:bCs w:val="1"/>
          <w:color w:val="auto"/>
        </w:rPr>
        <w:t>April 15, 2009</w:t>
      </w:r>
      <w:r>
        <w:rPr>
          <w:rFonts w:ascii="Arial" w:cs="Arial" w:eastAsia="Arial" w:hAnsi="Arial"/>
          <w:sz w:val="18"/>
          <w:szCs w:val="18"/>
          <w:color w:val="auto"/>
        </w:rPr>
        <w:t xml:space="preserve"> among the following parties in Hangzhou:</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(Hangzhou) Network Co., Ltd.</w:t>
      </w:r>
    </w:p>
    <w:p>
      <w:pPr>
        <w:spacing w:after="0" w:line="211" w:lineRule="exact"/>
        <w:rPr>
          <w:sz w:val="20"/>
          <w:szCs w:val="20"/>
          <w:color w:val="auto"/>
        </w:rPr>
      </w:pPr>
    </w:p>
    <w:p>
      <w:pPr>
        <w:sectPr>
          <w:pgSz w:w="11900" w:h="16838" w:orient="portrait"/>
          <w:cols w:equalWidth="0" w:num="2">
            <w:col w:w="920" w:space="720"/>
            <w:col w:w="97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Room 103-105, 1/F, Building 18, No.1 Jiaogong Road, Hangzhou, Zhejiang Province, P. R. China</w:t>
      </w:r>
    </w:p>
    <w:p>
      <w:pPr>
        <w:spacing w:after="0" w:line="200" w:lineRule="exact"/>
        <w:rPr>
          <w:sz w:val="20"/>
          <w:szCs w:val="20"/>
          <w:color w:val="auto"/>
        </w:rPr>
      </w:pPr>
    </w:p>
    <w:p>
      <w:pPr>
        <w:sectPr>
          <w:pgSz w:w="11900" w:h="16838" w:orient="portrait"/>
          <w:cols w:equalWidth="0" w:num="2">
            <w:col w:w="1160" w:space="480"/>
            <w:col w:w="9780"/>
          </w:cols>
          <w:pgMar w:left="240" w:top="121" w:right="23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Number: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 Zhipeng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330106197812210436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Enterprise Service Co., Ltd., No.14, Chaoyangmen Nandajie, Chaoyang District, Beijing, P.R. China</w:t>
      </w:r>
    </w:p>
    <w:p>
      <w:pPr>
        <w:spacing w:after="0" w:line="200" w:lineRule="exact"/>
        <w:rPr>
          <w:sz w:val="20"/>
          <w:szCs w:val="20"/>
          <w:color w:val="auto"/>
        </w:rPr>
      </w:pPr>
    </w:p>
    <w:p>
      <w:pPr>
        <w:sectPr>
          <w:pgSz w:w="11900" w:h="16838" w:orient="portrait"/>
          <w:cols w:equalWidth="0" w:num="2">
            <w:col w:w="1160" w:space="480"/>
            <w:col w:w="978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Hangzhou Leihuo Network Co., Ltd.</w:t>
      </w:r>
    </w:p>
    <w:p>
      <w:pPr>
        <w:spacing w:after="0" w:line="211" w:lineRule="exact"/>
        <w:rPr>
          <w:sz w:val="20"/>
          <w:szCs w:val="20"/>
          <w:color w:val="auto"/>
        </w:rPr>
      </w:pPr>
    </w:p>
    <w:p>
      <w:pPr>
        <w:sectPr>
          <w:pgSz w:w="11900" w:h="16838" w:orient="portrait"/>
          <w:cols w:equalWidth="0" w:num="2">
            <w:col w:w="920" w:space="720"/>
            <w:col w:w="97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Room 601-603, 6/F, Building 18, No.1 Jiaogong Road, West Lake District, Hangzhou, Zhejiang Province, P. R. China</w:t>
      </w:r>
    </w:p>
    <w:p>
      <w:pPr>
        <w:spacing w:after="0" w:line="200" w:lineRule="exact"/>
        <w:rPr>
          <w:sz w:val="20"/>
          <w:szCs w:val="20"/>
          <w:color w:val="auto"/>
        </w:rPr>
      </w:pPr>
    </w:p>
    <w:p>
      <w:pPr>
        <w:sectPr>
          <w:pgSz w:w="11900" w:h="16838" w:orient="portrait"/>
          <w:cols w:equalWidth="0" w:num="2">
            <w:col w:w="1160" w:space="480"/>
            <w:col w:w="9780"/>
          </w:cols>
          <w:pgMar w:left="240" w:top="121"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under the laws of the People’s Republic of China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Party C a limited liability company incorporated in the PRC;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50% of the equity interest in Party C (the “</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Party A and Party B entered into a loan agreement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on March 23, 2009, pursuant to which Party A made a loan to Party B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so that Party B could invest the proceeds from the Loan in Party C as a capital contribution; and</w:t>
      </w:r>
    </w:p>
    <w:p>
      <w:pPr>
        <w:spacing w:after="0" w:line="170" w:lineRule="exact"/>
        <w:rPr>
          <w:rFonts w:ascii="Arial" w:cs="Arial" w:eastAsia="Arial" w:hAnsi="Arial"/>
          <w:sz w:val="18"/>
          <w:szCs w:val="18"/>
          <w:color w:val="auto"/>
        </w:rPr>
      </w:pPr>
    </w:p>
    <w:p>
      <w:pPr>
        <w:ind w:left="660" w:right="2540" w:hanging="652"/>
        <w:spacing w:after="0" w:line="530" w:lineRule="auto"/>
        <w:tabs>
          <w:tab w:leader="none" w:pos="6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Party A and Party B entered into an equity pledge agreement (the “</w:t>
      </w:r>
      <w:r>
        <w:rPr>
          <w:rFonts w:ascii="Arial" w:cs="Arial" w:eastAsia="Arial" w:hAnsi="Arial"/>
          <w:sz w:val="17"/>
          <w:szCs w:val="17"/>
          <w:b w:val="1"/>
          <w:bCs w:val="1"/>
          <w:i w:val="1"/>
          <w:iCs w:val="1"/>
          <w:color w:val="auto"/>
        </w:rPr>
        <w:t>Equity Pledge Agreement</w:t>
      </w:r>
      <w:r>
        <w:rPr>
          <w:rFonts w:ascii="Arial" w:cs="Arial" w:eastAsia="Arial" w:hAnsi="Arial"/>
          <w:sz w:val="17"/>
          <w:szCs w:val="17"/>
          <w:color w:val="auto"/>
        </w:rPr>
        <w:t xml:space="preserve">”) on April 15, 2009. </w:t>
      </w:r>
      <w:r>
        <w:rPr>
          <w:rFonts w:ascii="Arial" w:cs="Arial" w:eastAsia="Arial" w:hAnsi="Arial"/>
          <w:sz w:val="17"/>
          <w:szCs w:val="17"/>
          <w:b w:val="1"/>
          <w:bCs w:val="1"/>
          <w:color w:val="auto"/>
        </w:rPr>
        <w:t>NOW, THEREFORE</w:t>
      </w:r>
      <w:r>
        <w:rPr>
          <w:rFonts w:ascii="Arial" w:cs="Arial" w:eastAsia="Arial" w:hAnsi="Arial"/>
          <w:sz w:val="17"/>
          <w:szCs w:val="17"/>
          <w:color w:val="auto"/>
        </w:rPr>
        <w:t>, through negotiations, all parties to this Agreement hereby agree as follows:</w:t>
      </w:r>
    </w:p>
    <w:p>
      <w:pPr>
        <w:spacing w:after="0" w:line="1"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i w:val="1"/>
          <w:i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i w:val="1"/>
          <w:i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6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i w:val="1"/>
          <w:i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i w:val="1"/>
          <w:i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257" w:lineRule="auto"/>
        <w:rPr>
          <w:sz w:val="20"/>
          <w:szCs w:val="20"/>
          <w:color w:val="auto"/>
        </w:rPr>
      </w:pPr>
      <w:r>
        <w:rPr>
          <w:rFonts w:ascii="Arial" w:cs="Arial" w:eastAsia="Arial" w:hAnsi="Arial"/>
          <w:sz w:val="18"/>
          <w:szCs w:val="18"/>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Arial" w:cs="Arial" w:eastAsia="Arial" w:hAnsi="Arial"/>
          <w:sz w:val="18"/>
          <w:szCs w:val="18"/>
          <w:b w:val="1"/>
          <w:bCs w:val="1"/>
          <w:i w:val="1"/>
          <w:iCs w:val="1"/>
          <w:color w:val="auto"/>
        </w:rPr>
        <w:t>Purchased Interest</w:t>
      </w:r>
      <w:r>
        <w:rPr>
          <w:rFonts w:ascii="Arial" w:cs="Arial" w:eastAsia="Arial" w:hAnsi="Arial"/>
          <w:sz w:val="18"/>
          <w:szCs w:val="18"/>
          <w:color w:val="auto"/>
        </w:rPr>
        <w:t>”) and the manner of such purchase.</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Transferor Obligations</w:t>
      </w:r>
    </w:p>
    <w:p>
      <w:pPr>
        <w:sectPr>
          <w:pgSz w:w="11900" w:h="16838" w:orient="portrait"/>
          <w:cols w:equalWidth="0" w:num="1">
            <w:col w:w="11420"/>
          </w:cols>
          <w:pgMar w:left="240" w:top="121" w:right="239" w:bottom="0" w:gutter="0" w:footer="0" w:header="0"/>
          <w:type w:val="continuous"/>
        </w:sectPr>
      </w:pPr>
    </w:p>
    <w:bookmarkStart w:id="142" w:name="page143"/>
    <w:bookmarkEnd w:id="142"/>
    <w:p>
      <w:pPr>
        <w:spacing w:after="0" w:line="90"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5" w:lineRule="exact"/>
        <w:rPr>
          <w:sz w:val="20"/>
          <w:szCs w:val="20"/>
          <w:color w:val="auto"/>
        </w:rPr>
      </w:pPr>
    </w:p>
    <w:p>
      <w:pPr>
        <w:ind w:left="1932" w:hanging="647"/>
        <w:spacing w:after="0" w:line="257" w:lineRule="auto"/>
        <w:tabs>
          <w:tab w:leader="none" w:pos="1912" w:val="left"/>
        </w:tabs>
        <w:rPr>
          <w:sz w:val="20"/>
          <w:szCs w:val="20"/>
          <w:color w:val="auto"/>
        </w:rPr>
      </w:pPr>
      <w:r>
        <w:rPr>
          <w:rFonts w:ascii="Arial" w:cs="Arial" w:eastAsia="Arial" w:hAnsi="Arial"/>
          <w:sz w:val="18"/>
          <w:szCs w:val="18"/>
          <w:color w:val="auto"/>
        </w:rPr>
        <w:t>1.3.1</w:t>
        <w:tab/>
        <w:t>If Party A exercises either Option, the purchase price of the Purchased Interest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be: (i) in the case of the Equity Option, equal to the original paid-in capital paid by the Transferor for such Equity Interest, and (ii) in the case of the Asset Option, equal to the net book value of the assets as shown in Party C’s financial statements, unless, in either case (i) or (ii), the then applicable PRC laws and regulations require appraisal of the Purchased Interest or stipulate other restrictions on the Purchase Price.</w:t>
      </w:r>
    </w:p>
    <w:p>
      <w:pPr>
        <w:spacing w:after="0" w:line="188" w:lineRule="exact"/>
        <w:rPr>
          <w:sz w:val="20"/>
          <w:szCs w:val="20"/>
          <w:color w:val="auto"/>
        </w:rPr>
      </w:pPr>
    </w:p>
    <w:p>
      <w:pPr>
        <w:ind w:left="1932" w:right="220" w:hanging="647"/>
        <w:spacing w:after="0" w:line="264" w:lineRule="auto"/>
        <w:tabs>
          <w:tab w:leader="none" w:pos="1912" w:val="left"/>
        </w:tabs>
        <w:rPr>
          <w:sz w:val="20"/>
          <w:szCs w:val="20"/>
          <w:color w:val="auto"/>
        </w:rPr>
      </w:pPr>
      <w:r>
        <w:rPr>
          <w:rFonts w:ascii="Arial" w:cs="Arial" w:eastAsia="Arial" w:hAnsi="Arial"/>
          <w:sz w:val="18"/>
          <w:szCs w:val="18"/>
          <w:color w:val="auto"/>
        </w:rPr>
        <w:t>1.3.2</w:t>
        <w:tab/>
        <w:t>If the applicable PRC laws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i w:val="1"/>
          <w:i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i w:val="1"/>
          <w:i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100"/>
        <w:spacing w:after="0" w:line="293" w:lineRule="auto"/>
        <w:rPr>
          <w:sz w:val="20"/>
          <w:szCs w:val="20"/>
          <w:color w:val="auto"/>
        </w:rPr>
      </w:pPr>
      <w:r>
        <w:rPr>
          <w:rFonts w:ascii="Arial" w:cs="Arial" w:eastAsia="Arial" w:hAnsi="Arial"/>
          <w:sz w:val="16"/>
          <w:szCs w:val="16"/>
          <w:color w:val="auto"/>
        </w:rPr>
        <w:t>Each time Party A exercises the Equity Option, the Purchase Price that is payable by Party A and/or the Designated Persons to the Transferor in connection with the Purchased Interest shall be used, pursuant to Article 5(a) of the Loan Agreement, to offset the amount outstanding on the Loan (with such offset applied to the principal, interest and capital utilization costs for the Loan as set forth in Article 6 of the Loan Agreement), provided that if there is any tax paid or payable by Party B in connection with the transfer of the Purchased Interest in accordance with this Agreement, then a portion of the Purchase Price equal to the amount of such tax shall be paid to Party B in cash and not applied as an offset to the amount outstanding on the Loan.</w:t>
      </w:r>
    </w:p>
    <w:p>
      <w:pPr>
        <w:spacing w:after="0" w:line="16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652" w:hanging="652"/>
        <w:spacing w:after="0"/>
        <w:tabs>
          <w:tab w:leader="none" w:pos="652"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rFonts w:ascii="Arial" w:cs="Arial" w:eastAsia="Arial" w:hAnsi="Arial"/>
          <w:sz w:val="18"/>
          <w:szCs w:val="18"/>
          <w:color w:val="auto"/>
        </w:rPr>
      </w:pPr>
    </w:p>
    <w:p>
      <w:pPr>
        <w:ind w:left="1292" w:right="6720" w:hanging="648"/>
        <w:spacing w:after="0" w:line="563"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Covenants Relating to Party B and Party C Each of Party B and Party C hereby covenants:</w:t>
      </w:r>
    </w:p>
    <w:p>
      <w:pPr>
        <w:spacing w:after="0" w:line="1" w:lineRule="exact"/>
        <w:rPr>
          <w:sz w:val="20"/>
          <w:szCs w:val="20"/>
          <w:color w:val="auto"/>
        </w:rPr>
      </w:pPr>
    </w:p>
    <w:p>
      <w:pPr>
        <w:ind w:left="1932" w:right="20" w:hanging="647"/>
        <w:spacing w:after="0" w:line="277" w:lineRule="auto"/>
        <w:tabs>
          <w:tab w:leader="none" w:pos="1912"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pacing w:after="0" w:line="170" w:lineRule="exact"/>
        <w:rPr>
          <w:sz w:val="20"/>
          <w:szCs w:val="20"/>
          <w:color w:val="auto"/>
        </w:rPr>
      </w:pPr>
    </w:p>
    <w:p>
      <w:pPr>
        <w:ind w:left="1932" w:right="180" w:hanging="647"/>
        <w:spacing w:after="0" w:line="277" w:lineRule="auto"/>
        <w:tabs>
          <w:tab w:leader="none" w:pos="1912"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ectPr>
          <w:pgSz w:w="11900" w:h="16929" w:orient="portrait"/>
          <w:cols w:equalWidth="0" w:num="1">
            <w:col w:w="11412"/>
          </w:cols>
          <w:pgMar w:left="248" w:top="125" w:right="239" w:bottom="0" w:gutter="0" w:footer="0" w:header="0"/>
        </w:sectPr>
      </w:pPr>
    </w:p>
    <w:bookmarkStart w:id="143" w:name="page144"/>
    <w:bookmarkEnd w:id="143"/>
    <w:p>
      <w:pPr>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1280" w:right="120" w:hanging="647"/>
        <w:spacing w:after="0" w:line="264" w:lineRule="auto"/>
        <w:tabs>
          <w:tab w:leader="none" w:pos="12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00" w:hanging="647"/>
        <w:spacing w:after="0" w:line="277" w:lineRule="auto"/>
        <w:tabs>
          <w:tab w:leader="none" w:pos="12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1280" w:hanging="647"/>
        <w:spacing w:after="0" w:line="342" w:lineRule="auto"/>
        <w:tabs>
          <w:tab w:leader="none" w:pos="12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1280" w:right="160" w:hanging="647"/>
        <w:spacing w:after="0" w:line="264" w:lineRule="auto"/>
        <w:tabs>
          <w:tab w:leader="none" w:pos="12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1280" w:hanging="647"/>
        <w:spacing w:after="0" w:line="277" w:lineRule="auto"/>
        <w:tabs>
          <w:tab w:leader="none" w:pos="12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1280" w:right="600" w:hanging="647"/>
        <w:spacing w:after="0" w:line="264" w:lineRule="auto"/>
        <w:tabs>
          <w:tab w:leader="none" w:pos="12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1280" w:right="260" w:hanging="647"/>
        <w:spacing w:after="0" w:line="277" w:lineRule="auto"/>
        <w:tabs>
          <w:tab w:leader="none" w:pos="12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20" w:hanging="647"/>
        <w:spacing w:after="0" w:line="259" w:lineRule="auto"/>
        <w:tabs>
          <w:tab w:leader="none" w:pos="12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1280" w:right="120" w:hanging="647"/>
        <w:spacing w:after="0" w:line="277" w:lineRule="auto"/>
        <w:tabs>
          <w:tab w:leader="none" w:pos="12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1280" w:right="420" w:hanging="647"/>
        <w:spacing w:after="0" w:line="277" w:lineRule="auto"/>
        <w:tabs>
          <w:tab w:leader="none" w:pos="12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jc w:val="both"/>
        <w:ind w:left="1280" w:right="120" w:hanging="647"/>
        <w:spacing w:after="0" w:line="264" w:lineRule="auto"/>
        <w:tabs>
          <w:tab w:leader="none" w:pos="1260" w:val="left"/>
        </w:tabs>
        <w:rPr>
          <w:sz w:val="20"/>
          <w:szCs w:val="20"/>
          <w:color w:val="auto"/>
        </w:rPr>
      </w:pPr>
      <w:r>
        <w:rPr>
          <w:rFonts w:ascii="Arial" w:cs="Arial" w:eastAsia="Arial" w:hAnsi="Arial"/>
          <w:sz w:val="18"/>
          <w:szCs w:val="18"/>
          <w:color w:val="auto"/>
        </w:rPr>
        <w:t>2.2.8</w:t>
        <w:tab/>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p>
      <w:pPr>
        <w:sectPr>
          <w:pgSz w:w="11900" w:h="16838" w:orient="portrait"/>
          <w:cols w:equalWidth="0" w:num="1">
            <w:col w:w="10760"/>
          </w:cols>
          <w:pgMar w:left="900" w:top="341" w:right="239" w:bottom="0" w:gutter="0" w:footer="0" w:header="0"/>
        </w:sectPr>
      </w:pPr>
    </w:p>
    <w:bookmarkStart w:id="144" w:name="page145"/>
    <w:bookmarkEnd w:id="144"/>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ind w:left="652" w:hanging="652"/>
        <w:spacing w:after="0"/>
        <w:tabs>
          <w:tab w:leader="none" w:pos="652"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rFonts w:ascii="Arial" w:cs="Arial" w:eastAsia="Arial" w:hAnsi="Arial"/>
          <w:sz w:val="18"/>
          <w:szCs w:val="18"/>
          <w:color w:val="auto"/>
        </w:rPr>
      </w:pPr>
    </w:p>
    <w:p>
      <w:pPr>
        <w:ind w:left="652" w:right="580"/>
        <w:spacing w:after="0" w:line="277" w:lineRule="auto"/>
        <w:rPr>
          <w:rFonts w:ascii="Arial" w:cs="Arial" w:eastAsia="Arial" w:hAnsi="Arial"/>
          <w:sz w:val="18"/>
          <w:szCs w:val="18"/>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rFonts w:ascii="Arial" w:cs="Arial" w:eastAsia="Arial" w:hAnsi="Arial"/>
          <w:sz w:val="18"/>
          <w:szCs w:val="18"/>
          <w:color w:val="auto"/>
        </w:rPr>
      </w:pPr>
    </w:p>
    <w:p>
      <w:pPr>
        <w:ind w:left="1292" w:right="140" w:hanging="648"/>
        <w:spacing w:after="0" w:line="259" w:lineRule="auto"/>
        <w:rPr>
          <w:rFonts w:ascii="Arial" w:cs="Arial" w:eastAsia="Arial" w:hAnsi="Arial"/>
          <w:sz w:val="18"/>
          <w:szCs w:val="18"/>
          <w:color w:val="auto"/>
        </w:rPr>
      </w:pPr>
      <w:r>
        <w:rPr>
          <w:rFonts w:ascii="Arial" w:cs="Arial" w:eastAsia="Arial" w:hAnsi="Arial"/>
          <w:sz w:val="18"/>
          <w:szCs w:val="18"/>
          <w:color w:val="auto"/>
        </w:rPr>
        <w:t>3.1It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hanging="647"/>
        <w:spacing w:after="0" w:line="257" w:lineRule="auto"/>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292" w:right="240" w:hanging="647"/>
        <w:spacing w:after="0" w:line="277" w:lineRule="auto"/>
        <w:tabs>
          <w:tab w:leader="none" w:pos="12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292" w:right="340" w:hanging="647"/>
        <w:spacing w:after="0" w:line="277" w:lineRule="auto"/>
        <w:tabs>
          <w:tab w:leader="none" w:pos="12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rFonts w:ascii="Arial" w:cs="Arial" w:eastAsia="Arial" w:hAnsi="Arial"/>
          <w:sz w:val="18"/>
          <w:szCs w:val="18"/>
          <w:color w:val="auto"/>
        </w:rPr>
      </w:pPr>
    </w:p>
    <w:p>
      <w:pPr>
        <w:ind w:left="1292"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4.1Party B and Party C shall not assign their rights and obligations under this Agreement to any third party without the prior written consent of Party A.</w:t>
      </w:r>
    </w:p>
    <w:p>
      <w:pPr>
        <w:spacing w:after="0" w:line="170" w:lineRule="exact"/>
        <w:rPr>
          <w:rFonts w:ascii="Arial" w:cs="Arial" w:eastAsia="Arial" w:hAnsi="Arial"/>
          <w:sz w:val="18"/>
          <w:szCs w:val="18"/>
          <w:color w:val="auto"/>
        </w:rPr>
      </w:pPr>
    </w:p>
    <w:p>
      <w:pPr>
        <w:ind w:left="1292"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4.2Party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This Agreement shall be effective as of the date first set forth above.</w:t>
      </w:r>
    </w:p>
    <w:p>
      <w:pPr>
        <w:spacing w:after="0" w:line="225" w:lineRule="exact"/>
        <w:rPr>
          <w:rFonts w:ascii="Arial" w:cs="Arial" w:eastAsia="Arial" w:hAnsi="Arial"/>
          <w:sz w:val="18"/>
          <w:szCs w:val="18"/>
          <w:color w:val="auto"/>
        </w:rPr>
      </w:pPr>
    </w:p>
    <w:p>
      <w:pPr>
        <w:ind w:left="1292" w:hanging="648"/>
        <w:spacing w:after="0" w:line="264" w:lineRule="auto"/>
        <w:rPr>
          <w:rFonts w:ascii="Arial" w:cs="Arial" w:eastAsia="Arial" w:hAnsi="Arial"/>
          <w:sz w:val="18"/>
          <w:szCs w:val="18"/>
          <w:color w:val="auto"/>
        </w:rPr>
      </w:pPr>
      <w:r>
        <w:rPr>
          <w:rFonts w:ascii="Arial" w:cs="Arial" w:eastAsia="Arial" w:hAnsi="Arial"/>
          <w:sz w:val="18"/>
          <w:szCs w:val="18"/>
          <w:color w:val="auto"/>
        </w:rPr>
        <w:t>5.2The term of this Agreement is twenty (20) years unless terminated earlier in accordance with the provisions of this Agreement or related agreements entered into by the Parties. This Agreement may be extended with the written consent of Party A before its expiration. The term of the extension shall be decided by the Parties through negotiation.</w:t>
      </w:r>
    </w:p>
    <w:p>
      <w:pPr>
        <w:spacing w:after="0" w:line="181" w:lineRule="exact"/>
        <w:rPr>
          <w:sz w:val="20"/>
          <w:szCs w:val="20"/>
          <w:color w:val="auto"/>
        </w:rPr>
      </w:pPr>
    </w:p>
    <w:p>
      <w:pPr>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duration of operation (including any extension thereof) of Party A or Party C is expired or terminated for other reasons within the term set forth in Article 5.2, this Agreement shall be terminated simultaneously, except in the situation where Party A has assigned its rights and obligations in accordance with Article 4.2 hereof.</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257" w:lineRule="auto"/>
        <w:rPr>
          <w:sz w:val="20"/>
          <w:szCs w:val="20"/>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ectPr>
          <w:pgSz w:w="11900" w:h="16838" w:orient="portrait"/>
          <w:cols w:equalWidth="0" w:num="1">
            <w:col w:w="11372"/>
          </w:cols>
          <w:pgMar w:left="248" w:top="125" w:right="279" w:bottom="0" w:gutter="0" w:footer="0" w:header="0"/>
        </w:sectPr>
      </w:pPr>
    </w:p>
    <w:bookmarkStart w:id="145" w:name="page146"/>
    <w:bookmarkEnd w:id="145"/>
    <w:p>
      <w:pPr>
        <w:spacing w:after="0" w:line="35" w:lineRule="exact"/>
        <w:rPr>
          <w:sz w:val="20"/>
          <w:szCs w:val="20"/>
          <w:color w:val="auto"/>
        </w:rPr>
      </w:pPr>
    </w:p>
    <w:p>
      <w:pPr>
        <w:ind w:left="652" w:hanging="652"/>
        <w:spacing w:after="0"/>
        <w:tabs>
          <w:tab w:leader="none" w:pos="65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52" w:right="100"/>
        <w:spacing w:after="0" w:line="259" w:lineRule="auto"/>
        <w:rPr>
          <w:rFonts w:ascii="Arial" w:cs="Arial" w:eastAsia="Arial" w:hAnsi="Arial"/>
          <w:sz w:val="18"/>
          <w:szCs w:val="18"/>
          <w:color w:val="auto"/>
        </w:rPr>
      </w:pPr>
      <w:r>
        <w:rPr>
          <w:rFonts w:ascii="Arial" w:cs="Arial" w:eastAsia="Arial" w:hAnsi="Arial"/>
          <w:sz w:val="18"/>
          <w:szCs w:val="18"/>
          <w:color w:val="auto"/>
        </w:rPr>
        <w:t>Except for the portion of the Purchase Price payable in cash to Party B for taxes, as set forth in Article 1.5.1 of this Agreement, every Party shall, in accordance with PRC laws, bear any and all transfer and registration taxes, expenses and charges incurred by or levied on it with respect to the preparation and execution of this Agreement and each Transfer Agreement and the consummation of the transactions contemplated under this Agreement and each Transfer Agreement.</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rFonts w:ascii="Arial" w:cs="Arial" w:eastAsia="Arial" w:hAnsi="Arial"/>
          <w:sz w:val="18"/>
          <w:szCs w:val="18"/>
          <w:color w:val="auto"/>
        </w:rPr>
      </w:pPr>
    </w:p>
    <w:p>
      <w:pPr>
        <w:ind w:left="1292" w:right="40" w:hanging="648"/>
        <w:spacing w:after="0" w:line="286"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w:t>
      </w:r>
    </w:p>
    <w:p>
      <w:pPr>
        <w:spacing w:after="0" w:line="1" w:lineRule="exact"/>
        <w:rPr>
          <w:rFonts w:ascii="Arial" w:cs="Arial" w:eastAsia="Arial" w:hAnsi="Arial"/>
          <w:sz w:val="18"/>
          <w:szCs w:val="18"/>
          <w:color w:val="auto"/>
        </w:rPr>
      </w:pPr>
    </w:p>
    <w:p>
      <w:pPr>
        <w:ind w:left="1292" w:right="160" w:firstLine="5"/>
        <w:spacing w:after="0" w:line="254" w:lineRule="auto"/>
        <w:tabs>
          <w:tab w:leader="none" w:pos="153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9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10.1    Amendment, Modification or Supplement</w:t>
      </w:r>
    </w:p>
    <w:p>
      <w:pPr>
        <w:spacing w:after="0" w:line="225" w:lineRule="exact"/>
        <w:rPr>
          <w:sz w:val="20"/>
          <w:szCs w:val="20"/>
          <w:color w:val="auto"/>
        </w:rPr>
      </w:pPr>
    </w:p>
    <w:p>
      <w:pPr>
        <w:ind w:left="1292" w:right="1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292" w:right="1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292" w:right="1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292" w:right="7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Language and Copies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This Agreement is executed in English in three copies; each Party holds one copy and each copy has the same legal effect.</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292" w:right="1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292" w:right="5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and 9 and this Article 10.7 shall survive the termination of this Agreement.</w:t>
      </w:r>
    </w:p>
    <w:p>
      <w:pPr>
        <w:spacing w:after="0" w:line="124"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Waiver</w:t>
      </w:r>
    </w:p>
    <w:p>
      <w:pPr>
        <w:sectPr>
          <w:pgSz w:w="11900" w:h="16874" w:orient="portrait"/>
          <w:cols w:equalWidth="0" w:num="1">
            <w:col w:w="11392"/>
          </w:cols>
          <w:pgMar w:left="248" w:top="125" w:right="259" w:bottom="0" w:gutter="0" w:footer="0" w:header="0"/>
        </w:sectPr>
      </w:pPr>
    </w:p>
    <w:bookmarkStart w:id="146" w:name="page147"/>
    <w:bookmarkEnd w:id="146"/>
    <w:p>
      <w:pPr>
        <w:ind w:left="1300" w:right="16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2"/>
          </w:tcPr>
          <w:p>
            <w:pPr>
              <w:jc w:val="center"/>
              <w:ind w:right="4360"/>
              <w:spacing w:after="0"/>
              <w:rPr>
                <w:sz w:val="20"/>
                <w:szCs w:val="20"/>
                <w:color w:val="auto"/>
              </w:rPr>
            </w:pPr>
            <w:r>
              <w:rPr>
                <w:rFonts w:ascii="Arial" w:cs="Arial" w:eastAsia="Arial" w:hAnsi="Arial"/>
                <w:sz w:val="18"/>
                <w:szCs w:val="18"/>
                <w:color w:val="auto"/>
                <w:w w:val="92"/>
              </w:rPr>
              <w:t>[No text below on this page]</w:t>
            </w:r>
          </w:p>
        </w:tc>
      </w:tr>
      <w:tr>
        <w:trPr>
          <w:trHeight w:val="432"/>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0" w:type="dxa"/>
            <w:vAlign w:val="bottom"/>
          </w:tcPr>
          <w:p>
            <w:pPr>
              <w:jc w:val="center"/>
              <w:ind w:right="130"/>
              <w:spacing w:after="0"/>
              <w:rPr>
                <w:sz w:val="20"/>
                <w:szCs w:val="20"/>
                <w:color w:val="auto"/>
              </w:rPr>
            </w:pPr>
            <w:r>
              <w:rPr>
                <w:rFonts w:ascii="Arial" w:cs="Arial" w:eastAsia="Arial" w:hAnsi="Arial"/>
                <w:sz w:val="18"/>
                <w:szCs w:val="18"/>
                <w:color w:val="auto"/>
                <w:w w:val="89"/>
              </w:rPr>
              <w:t>10</w:t>
            </w:r>
          </w:p>
        </w:tc>
        <w:tc>
          <w:tcPr>
            <w:tcW w:w="4140" w:type="dxa"/>
            <w:vAlign w:val="bottom"/>
          </w:tcPr>
          <w:p>
            <w:pPr>
              <w:spacing w:after="0"/>
              <w:rPr>
                <w:sz w:val="24"/>
                <w:szCs w:val="24"/>
                <w:color w:val="auto"/>
              </w:rPr>
            </w:pPr>
          </w:p>
        </w:tc>
      </w:tr>
      <w:tr>
        <w:trPr>
          <w:trHeight w:val="132"/>
        </w:trPr>
        <w:tc>
          <w:tcPr>
            <w:tcW w:w="10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r>
      <w:tr>
        <w:trPr>
          <w:trHeight w:val="780"/>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2"/>
          </w:tcPr>
          <w:p>
            <w:pPr>
              <w:jc w:val="center"/>
              <w:ind w:right="4340"/>
              <w:spacing w:after="0"/>
              <w:rPr>
                <w:sz w:val="20"/>
                <w:szCs w:val="20"/>
                <w:color w:val="auto"/>
              </w:rPr>
            </w:pPr>
            <w:r>
              <w:rPr>
                <w:rFonts w:ascii="Arial" w:cs="Arial" w:eastAsia="Arial" w:hAnsi="Arial"/>
                <w:sz w:val="18"/>
                <w:szCs w:val="18"/>
                <w:color w:val="auto"/>
                <w:w w:val="89"/>
              </w:rPr>
              <w:t>[Signature Page]</w:t>
            </w: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w w:val="94"/>
              </w:rPr>
              <w:t>Party A: NetEase (Hangzhou) Network Co., Ltd. (seal)</w:t>
            </w:r>
          </w:p>
        </w:tc>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color w:val="auto"/>
              </w:rPr>
              <w:t>Legal Representative/Authorized Representative:</w:t>
            </w: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 William Lei Ding</w:t>
            </w:r>
          </w:p>
        </w:tc>
      </w:tr>
      <w:tr>
        <w:trPr>
          <w:trHeight w:val="628"/>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Party B: Hu Zhipeng</w:t>
            </w:r>
          </w:p>
        </w:tc>
        <w:tc>
          <w:tcPr>
            <w:tcW w:w="300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2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Hu Zhipeng</w:t>
            </w:r>
          </w:p>
        </w:tc>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28"/>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w w:val="99"/>
              </w:rPr>
              <w:t>Party C: Hangzhou Leihuo Network Co., Ltd. (seal)</w:t>
            </w:r>
          </w:p>
        </w:tc>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color w:val="auto"/>
              </w:rPr>
              <w:t>Legal Representative/Authorized Representative:</w:t>
            </w: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 William Lei Ding</w:t>
            </w:r>
          </w:p>
        </w:tc>
      </w:tr>
      <w:tr>
        <w:trPr>
          <w:trHeight w:val="426"/>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9"/>
              </w:rPr>
              <w:t>11</w:t>
            </w:r>
          </w:p>
        </w:tc>
        <w:tc>
          <w:tcPr>
            <w:tcW w:w="4140" w:type="dxa"/>
            <w:vAlign w:val="bottom"/>
          </w:tcPr>
          <w:p>
            <w:pPr>
              <w:spacing w:after="0"/>
              <w:rPr>
                <w:sz w:val="24"/>
                <w:szCs w:val="24"/>
                <w:color w:val="auto"/>
              </w:rPr>
            </w:pPr>
          </w:p>
        </w:tc>
      </w:tr>
      <w:tr>
        <w:trPr>
          <w:trHeight w:val="132"/>
        </w:trPr>
        <w:tc>
          <w:tcPr>
            <w:tcW w:w="10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-2825115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-2825115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t>
      </w:r>
      <w:r>
        <w:rPr>
          <w:rFonts w:ascii="Arial" w:cs="Arial" w:eastAsia="Arial" w:hAnsi="Arial"/>
          <w:sz w:val="18"/>
          <w:szCs w:val="18"/>
          <w:i w:val="1"/>
          <w:iCs w:val="1"/>
          <w:color w:val="auto"/>
        </w:rPr>
        <w:t>Transferor)</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Exclusive Purchase Option Agreement between us executed on [</w:t>
      </w:r>
      <w:r>
        <w:rPr>
          <w:rFonts w:ascii="Arial" w:cs="Arial" w:eastAsia="Arial" w:hAnsi="Arial"/>
          <w:sz w:val="18"/>
          <w:szCs w:val="18"/>
          <w:i w:val="1"/>
          <w:iCs w:val="1"/>
          <w:color w:val="auto"/>
        </w:rPr>
        <w:t>April 15, 2009</w:t>
      </w:r>
      <w:r>
        <w:rPr>
          <w:rFonts w:ascii="Arial" w:cs="Arial" w:eastAsia="Arial" w:hAnsi="Arial"/>
          <w:sz w:val="18"/>
          <w:szCs w:val="18"/>
          <w:color w:val="auto"/>
        </w:rPr>
        <w:t>]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you agreed to transfer to us or our Designated Person(s) certain equity interests or assets upon notice from us.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[All /</w:t>
      </w:r>
      <w:r>
        <w:rPr>
          <w:sz w:val="20"/>
          <w:szCs w:val="20"/>
          <w:color w:val="auto"/>
        </w:rPr>
        <w:tab/>
      </w:r>
      <w:r>
        <w:rPr>
          <w:rFonts w:ascii="Arial" w:cs="Arial" w:eastAsia="Arial" w:hAnsi="Arial"/>
          <w:sz w:val="16"/>
          <w:szCs w:val="16"/>
          <w:color w:val="auto"/>
        </w:rPr>
        <w:t>% of the shares in [</w:t>
      </w:r>
      <w:r>
        <w:rPr>
          <w:rFonts w:ascii="Arial" w:cs="Arial" w:eastAsia="Arial" w:hAnsi="Arial"/>
          <w:sz w:val="16"/>
          <w:szCs w:val="16"/>
          <w:i w:val="1"/>
          <w:iCs w:val="1"/>
          <w:color w:val="auto"/>
        </w:rPr>
        <w:t>Hangzhou Leihuo Network Co., Ltd.]</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the assets of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 / The following assets of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3" w:lineRule="exact"/>
        <w:rPr>
          <w:sz w:val="20"/>
          <w:szCs w:val="20"/>
          <w:color w:val="auto"/>
        </w:rPr>
      </w:pPr>
    </w:p>
    <w:p>
      <w:pPr>
        <w:ind w:right="220" w:firstLine="648"/>
        <w:spacing w:after="0" w:line="290" w:lineRule="auto"/>
        <w:rPr>
          <w:sz w:val="20"/>
          <w:szCs w:val="20"/>
          <w:color w:val="auto"/>
        </w:rPr>
      </w:pPr>
      <w:r>
        <w:rPr>
          <w:rFonts w:ascii="Arial" w:cs="Arial" w:eastAsia="Arial" w:hAnsi="Arial"/>
          <w:sz w:val="17"/>
          <w:szCs w:val="17"/>
          <w:color w:val="auto"/>
        </w:rPr>
        <w:t>In consideration for the Purchased Interest, the Purchase Price (as defined in Article 1.3 of the Option Agreement) of the Purchased Interest will be [RMB _____________________]. We shall handle payment of the Purchase Price pursuant to Article 1.5 of the Option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assist us in arranging for the transfer of the Purchased Interest to [</w:t>
      </w:r>
      <w:r>
        <w:rPr>
          <w:rFonts w:ascii="Arial" w:cs="Arial" w:eastAsia="Arial" w:hAnsi="Arial"/>
          <w:sz w:val="18"/>
          <w:szCs w:val="18"/>
          <w:i w:val="1"/>
          <w:iCs w:val="1"/>
          <w:color w:val="auto"/>
        </w:rPr>
        <w:t>us / our Designated Person(s), which is/are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  Such transfer should occur no later than forty-five (45) business days after the date hereof</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[NetEase (Hangzhou) Network Co.,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Power of Attorney</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 / We] hereby irrevocably appoint ____________________________________, holder of [passport / PRC identification] number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 as [my / our] proxy, to sign and deliver any and all legal documents that are necessary or useful to effect any exercise of an option to</w:t>
      </w:r>
    </w:p>
    <w:p>
      <w:pPr>
        <w:spacing w:after="0" w:line="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purchase any equity interests or assets pursuant to the Exclusive Purchase Option Agreement between [</w:t>
      </w:r>
      <w:r>
        <w:rPr>
          <w:rFonts w:ascii="Arial" w:cs="Arial" w:eastAsia="Arial" w:hAnsi="Arial"/>
          <w:sz w:val="18"/>
          <w:szCs w:val="18"/>
          <w:i w:val="1"/>
          <w:iCs w:val="1"/>
          <w:color w:val="auto"/>
        </w:rPr>
        <w:t>NetEase (Hangzhou) Network Co., Ltd.</w:t>
      </w:r>
      <w:r>
        <w:rPr>
          <w:rFonts w:ascii="Arial" w:cs="Arial" w:eastAsia="Arial" w:hAnsi="Arial"/>
          <w:sz w:val="18"/>
          <w:szCs w:val="18"/>
          <w:color w:val="auto"/>
        </w:rPr>
        <w:t>], [</w:t>
      </w:r>
      <w:r>
        <w:rPr>
          <w:rFonts w:ascii="Arial" w:cs="Arial" w:eastAsia="Arial" w:hAnsi="Arial"/>
          <w:sz w:val="18"/>
          <w:szCs w:val="18"/>
          <w:i w:val="1"/>
          <w:iCs w:val="1"/>
          <w:color w:val="auto"/>
        </w:rPr>
        <w:t>Hu Zhipeng</w:t>
      </w:r>
      <w:r>
        <w:rPr>
          <w:rFonts w:ascii="Arial" w:cs="Arial" w:eastAsia="Arial" w:hAnsi="Arial"/>
          <w:sz w:val="18"/>
          <w:szCs w:val="18"/>
          <w:color w:val="auto"/>
        </w:rPr>
        <w:t>] and [</w:t>
      </w:r>
      <w:r>
        <w:rPr>
          <w:rFonts w:ascii="Arial" w:cs="Arial" w:eastAsia="Arial" w:hAnsi="Arial"/>
          <w:sz w:val="18"/>
          <w:szCs w:val="18"/>
          <w:i w:val="1"/>
          <w:iCs w:val="1"/>
          <w:color w:val="auto"/>
        </w:rPr>
        <w:t>Hangzhou Leihuo Network Co., Ltd.</w:t>
      </w:r>
      <w:r>
        <w:rPr>
          <w:rFonts w:ascii="Arial" w:cs="Arial" w:eastAsia="Arial" w:hAnsi="Arial"/>
          <w:sz w:val="18"/>
          <w:szCs w:val="18"/>
          <w:color w:val="auto"/>
        </w:rPr>
        <w:t>] executed on [</w:t>
      </w:r>
      <w:r>
        <w:rPr>
          <w:rFonts w:ascii="Arial" w:cs="Arial" w:eastAsia="Arial" w:hAnsi="Arial"/>
          <w:sz w:val="18"/>
          <w:szCs w:val="18"/>
          <w:i w:val="1"/>
          <w:iCs w:val="1"/>
          <w:color w:val="auto"/>
        </w:rPr>
        <w:t>April 15, 2009</w:t>
      </w:r>
      <w:r>
        <w:rPr>
          <w:rFonts w:ascii="Arial" w:cs="Arial" w:eastAsia="Arial" w:hAnsi="Arial"/>
          <w:sz w:val="18"/>
          <w:szCs w:val="18"/>
          <w:color w:val="auto"/>
        </w:rPr>
        <w:t>].</w:t>
      </w:r>
    </w:p>
    <w:p>
      <w:pPr>
        <w:sectPr>
          <w:pgSz w:w="11900" w:h="16838" w:orient="portrait"/>
          <w:cols w:equalWidth="0" w:num="1">
            <w:col w:w="11460"/>
          </w:cols>
          <w:pgMar w:left="240" w:top="341" w:right="199" w:bottom="0" w:gutter="0" w:footer="0" w:header="0"/>
        </w:sectPr>
      </w:pPr>
    </w:p>
    <w:bookmarkStart w:id="147" w:name="page148"/>
    <w:bookmarkEnd w:id="147"/>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Transfer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Transfer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jointly signed by the Parties on ________ at the offices of [</w:t>
      </w:r>
      <w:r>
        <w:rPr>
          <w:rFonts w:ascii="Arial" w:cs="Arial" w:eastAsia="Arial" w:hAnsi="Arial"/>
          <w:sz w:val="16"/>
          <w:szCs w:val="16"/>
          <w:i w:val="1"/>
          <w:iCs w:val="1"/>
          <w:color w:val="auto"/>
        </w:rPr>
        <w:t>Hangzhou Leihuo Network Co., Ltd.</w:t>
      </w:r>
      <w:r>
        <w:rPr>
          <w:rFonts w:ascii="Arial" w:cs="Arial" w:eastAsia="Arial" w:hAnsi="Arial"/>
          <w:sz w:val="16"/>
          <w:szCs w:val="16"/>
          <w:color w:val="auto"/>
        </w:rPr>
        <w: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ectPr>
          <w:pgSz w:w="11900" w:h="16838" w:orient="portrait"/>
          <w:cols w:equalWidth="0" w:num="1">
            <w:col w:w="11380"/>
          </w:cols>
          <w:pgMar w:left="240" w:top="571" w:right="2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Transferor: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Hu Zhipeng / Hangzhou Leihuo Network Co., Ltd.</w:t>
      </w:r>
      <w:r>
        <w:rPr>
          <w:rFonts w:ascii="Arial" w:cs="Arial" w:eastAsia="Arial" w:hAnsi="Arial"/>
          <w:sz w:val="18"/>
          <w:szCs w:val="18"/>
          <w:color w:val="auto"/>
        </w:rPr>
        <w:t>]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NetEase (Hangzhou) Network Co., Ltd. or designated person(s)</w:t>
      </w:r>
      <w:r>
        <w:rPr>
          <w:rFonts w:ascii="Arial" w:cs="Arial" w:eastAsia="Arial" w:hAnsi="Arial"/>
          <w:sz w:val="16"/>
          <w:szCs w:val="16"/>
          <w:color w:val="auto"/>
        </w:rPr>
        <w:t>] (“</w:t>
      </w:r>
      <w:r>
        <w:rPr>
          <w:rFonts w:ascii="Arial" w:cs="Arial" w:eastAsia="Arial" w:hAnsi="Arial"/>
          <w:sz w:val="16"/>
          <w:szCs w:val="16"/>
          <w:b w:val="1"/>
          <w:bCs w:val="1"/>
          <w:i w:val="1"/>
          <w:iCs w:val="1"/>
          <w:color w:val="auto"/>
        </w:rPr>
        <w:t>Party B</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820" w:space="500"/>
            <w:col w:w="10060"/>
          </w:cols>
          <w:pgMar w:left="240" w:top="571" w:right="2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registered capital of the Company is [RMB ___________], of which Party A contributed [RMB _____________], representing [_____%] of the</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registered capital of the Company. According to the relevant laws, rules and regulations, upon friendly negotiations between the Parties, and pursuant to the Exclusive Purchase Option Agreement entered into by the Parties on [</w:t>
      </w:r>
      <w:r>
        <w:rPr>
          <w:rFonts w:ascii="Arial" w:cs="Arial" w:eastAsia="Arial" w:hAnsi="Arial"/>
          <w:sz w:val="18"/>
          <w:szCs w:val="18"/>
          <w:i w:val="1"/>
          <w:iCs w:val="1"/>
          <w:color w:val="auto"/>
        </w:rPr>
        <w:t>April 15, 2009</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Exclusive Purchase Option Agreement</w:t>
      </w:r>
      <w:r>
        <w:rPr>
          <w:rFonts w:ascii="Arial" w:cs="Arial" w:eastAsia="Arial" w:hAnsi="Arial"/>
          <w:sz w:val="18"/>
          <w:szCs w:val="18"/>
          <w:color w:val="auto"/>
        </w:rPr>
        <w:t>”), the Parties agree to the following: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Article 1. Subject of Transfer and Purchase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Party A shall transfer to [Party B / Party B’s designated person(s): _____________________] [_____% equity interest of the Company /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assets: ________________________________________________________] (the “</w:t>
      </w:r>
      <w:r>
        <w:rPr>
          <w:rFonts w:ascii="Arial" w:cs="Arial" w:eastAsia="Arial" w:hAnsi="Arial"/>
          <w:sz w:val="16"/>
          <w:szCs w:val="16"/>
          <w:b w:val="1"/>
          <w:bCs w:val="1"/>
          <w:i w:val="1"/>
          <w:iCs w:val="1"/>
          <w:color w:val="auto"/>
        </w:rPr>
        <w:t>Transferred Interest</w:t>
      </w:r>
      <w:r>
        <w:rPr>
          <w:rFonts w:ascii="Arial" w:cs="Arial" w:eastAsia="Arial" w:hAnsi="Arial"/>
          <w:sz w:val="16"/>
          <w:szCs w:val="16"/>
          <w:color w:val="auto"/>
        </w:rPr>
        <w:t>”) for the total purchase price of [RMB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Party A (signature):  [signed]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B (signature):  [signed]</w:t>
      </w:r>
    </w:p>
    <w:p>
      <w:pPr>
        <w:spacing w:after="0" w:line="225" w:lineRule="exact"/>
        <w:rPr>
          <w:sz w:val="20"/>
          <w:szCs w:val="20"/>
          <w:color w:val="auto"/>
        </w:rPr>
      </w:pPr>
    </w:p>
    <w:p>
      <w:pPr>
        <w:ind w:left="5720"/>
        <w:spacing w:after="0"/>
        <w:tabs>
          <w:tab w:leader="none" w:pos="7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type w:val="continuous"/>
        </w:sectPr>
      </w:pPr>
    </w:p>
    <w:bookmarkStart w:id="148" w:name="page149"/>
    <w:bookmarkEnd w:id="148"/>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Operating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among the following parties in Hangzhou as of </w:t>
      </w:r>
      <w:r>
        <w:rPr>
          <w:rFonts w:ascii="Arial" w:cs="Arial" w:eastAsia="Arial" w:hAnsi="Arial"/>
          <w:sz w:val="18"/>
          <w:szCs w:val="18"/>
          <w:b w:val="1"/>
          <w:bCs w:val="1"/>
          <w:color w:val="auto"/>
        </w:rPr>
        <w:t>April 15, 2009</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w:t>
      </w:r>
    </w:p>
    <w:p>
      <w:pPr>
        <w:spacing w:after="0" w:line="2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Room 103-105, 1/F, Building 18, No.1 Jiaogong Road, Hangzhou, Zhejiang Province, P. R. China</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b w:val="1"/>
          <w:bCs w:val="1"/>
          <w:color w:val="auto"/>
        </w:rPr>
        <w:t>Hangzhou Leihuo Network Co., Ltd.</w:t>
      </w:r>
    </w:p>
    <w:p>
      <w:pPr>
        <w:spacing w:after="0" w:line="2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Room 601-603, 6/F, Building 18, No.1 Jiaogong Road, West Lake District, Hangzhou, Zhejiang Province, P. R. China</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C:</w:t>
      </w:r>
      <w:r>
        <w:rPr>
          <w:sz w:val="20"/>
          <w:szCs w:val="20"/>
          <w:color w:val="auto"/>
        </w:rPr>
        <w:tab/>
      </w:r>
      <w:r>
        <w:rPr>
          <w:rFonts w:ascii="Arial" w:cs="Arial" w:eastAsia="Arial" w:hAnsi="Arial"/>
          <w:sz w:val="16"/>
          <w:szCs w:val="16"/>
          <w:b w:val="1"/>
          <w:bCs w:val="1"/>
          <w:color w:val="auto"/>
        </w:rPr>
        <w:t>Chen Gang 330106197310300431</w:t>
      </w:r>
    </w:p>
    <w:p>
      <w:pPr>
        <w:spacing w:after="0" w:line="2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No.38 Zheda Road, West Lake District, Hangzhou, Zhejiang Province, P. R. China</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D:</w:t>
      </w:r>
      <w:r>
        <w:rPr>
          <w:sz w:val="20"/>
          <w:szCs w:val="20"/>
          <w:color w:val="auto"/>
        </w:rPr>
        <w:tab/>
      </w:r>
      <w:r>
        <w:rPr>
          <w:rFonts w:ascii="Arial" w:cs="Arial" w:eastAsia="Arial" w:hAnsi="Arial"/>
          <w:sz w:val="16"/>
          <w:szCs w:val="16"/>
          <w:b w:val="1"/>
          <w:bCs w:val="1"/>
          <w:color w:val="auto"/>
        </w:rPr>
        <w:t>Hu Zhipeng 330106197812210436</w:t>
      </w:r>
    </w:p>
    <w:p>
      <w:pPr>
        <w:spacing w:after="0" w:line="2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Foreign Enterprise Service Co., Ltd., No.14, Chaoyangmen Nandajie, Chaoyang District, Beijing, P. R.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Party C and Party D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Party A is a wholly foreign-owned enterprise duly incorporated and validly existing under the laws of the People’s Republic of China (the “</w:t>
      </w:r>
      <w:r>
        <w:rPr>
          <w:rFonts w:ascii="Arial" w:cs="Arial" w:eastAsia="Arial" w:hAnsi="Arial"/>
          <w:sz w:val="16"/>
          <w:szCs w:val="16"/>
          <w:b w:val="1"/>
          <w:bCs w:val="1"/>
          <w:i w:val="1"/>
          <w:iCs w:val="1"/>
          <w:color w:val="auto"/>
        </w:rPr>
        <w:t>PRC</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Party B is a limited liability company duly incorporated and validly existing under PRC law;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Party C and Party D are shareholders of Party B, in which Party C owns 50% and Party D owns 50% of the equity interest;</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Party A has established a business relationship with Party B by entering into a Cooperation Agreement (the “</w:t>
      </w:r>
      <w:r>
        <w:rPr>
          <w:rFonts w:ascii="Arial" w:cs="Arial" w:eastAsia="Arial" w:hAnsi="Arial"/>
          <w:sz w:val="18"/>
          <w:szCs w:val="18"/>
          <w:b w:val="1"/>
          <w:bCs w:val="1"/>
          <w:i w:val="1"/>
          <w:iCs w:val="1"/>
          <w:color w:val="auto"/>
        </w:rPr>
        <w:t>Cooperation Agreement</w:t>
      </w:r>
      <w:r>
        <w:rPr>
          <w:rFonts w:ascii="Arial" w:cs="Arial" w:eastAsia="Arial" w:hAnsi="Arial"/>
          <w:sz w:val="18"/>
          <w:szCs w:val="18"/>
          <w:color w:val="auto"/>
        </w:rPr>
        <w:t>”) and other agreements; and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Pursuant to the above-mentioned agreements between Party A and Party B, Party B shall pay certain sums of money to Party A. The daily operations of Party B will have a material effect on Party B’s ability to pay such account payable to Party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40" w:hanging="652"/>
        <w:spacing w:after="0" w:line="255" w:lineRule="auto"/>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Party A agrees, subject to the satisfaction of the relevant provisions herein by Party B,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Party C and Party D shall take all necessary actions (including, but not limited to, executing the relevant documents and filing the relevant registrations) to carry out the counter-guarantee arrangement with Party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hanging="652"/>
        <w:spacing w:after="0" w:line="297" w:lineRule="auto"/>
        <w:tabs>
          <w:tab w:leader="none" w:pos="6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consideration of the requirements of Article 1 hereof and to ensure the performance of the various business agreements between Party A and Party B and the payment by Party B of the amounts payable to Party A thereunder, Party B, together with its shareholders Party C and Party D,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p>
      <w:pPr>
        <w:spacing w:after="0" w:line="15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2.1</w:t>
      </w:r>
      <w:r>
        <w:rPr>
          <w:rFonts w:ascii="Arial" w:cs="Arial" w:eastAsia="Arial" w:hAnsi="Arial"/>
          <w:sz w:val="16"/>
          <w:szCs w:val="16"/>
          <w:color w:val="auto"/>
        </w:rPr>
        <w:t>To declare any dividend or distribution to any shareholder;</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2.2</w:t>
      </w:r>
      <w:r>
        <w:rPr>
          <w:rFonts w:ascii="Arial" w:cs="Arial" w:eastAsia="Arial" w:hAnsi="Arial"/>
          <w:sz w:val="16"/>
          <w:szCs w:val="16"/>
          <w:color w:val="auto"/>
        </w:rPr>
        <w:t>To borrow money from any third party or assume any debt;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2.3</w:t>
      </w:r>
      <w:r>
        <w:rPr>
          <w:rFonts w:ascii="Arial" w:cs="Arial" w:eastAsia="Arial" w:hAnsi="Arial"/>
          <w:sz w:val="16"/>
          <w:szCs w:val="16"/>
          <w:color w:val="auto"/>
        </w:rPr>
        <w:t>To sell to or acquire from any third party any asset or rights, including, but not limited to, any intellectual property rights;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To provide a guarantee for any third party using its assets or intellectual property rights as collateral;</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2.5</w:t>
      </w:r>
      <w:r>
        <w:rPr>
          <w:rFonts w:ascii="Arial" w:cs="Arial" w:eastAsia="Arial" w:hAnsi="Arial"/>
          <w:sz w:val="16"/>
          <w:szCs w:val="16"/>
          <w:color w:val="auto"/>
        </w:rPr>
        <w:t>To assign to any third party its business contracts;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2.6</w:t>
      </w:r>
      <w:r>
        <w:rPr>
          <w:rFonts w:ascii="Arial" w:cs="Arial" w:eastAsia="Arial" w:hAnsi="Arial"/>
          <w:sz w:val="16"/>
          <w:szCs w:val="16"/>
          <w:color w:val="auto"/>
        </w:rPr>
        <w:t>To engage in any activity beyond its normal business scope;</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2.7</w:t>
      </w:r>
      <w:r>
        <w:rPr>
          <w:rFonts w:ascii="Arial" w:cs="Arial" w:eastAsia="Arial" w:hAnsi="Arial"/>
          <w:sz w:val="16"/>
          <w:szCs w:val="16"/>
          <w:color w:val="auto"/>
        </w:rPr>
        <w:t>To change or dismiss any of its directors or remove and replace any of its officers;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2.8</w:t>
      </w:r>
      <w:r>
        <w:rPr>
          <w:rFonts w:ascii="Arial" w:cs="Arial" w:eastAsia="Arial" w:hAnsi="Arial"/>
          <w:sz w:val="16"/>
          <w:szCs w:val="16"/>
          <w:color w:val="auto"/>
        </w:rPr>
        <w:t>To amend its articles of association or change its business scope;</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16"/>
          <w:szCs w:val="16"/>
          <w:color w:val="auto"/>
        </w:rPr>
        <w:t>To change its normal business procedures or amend any of its important rules and regulations; or</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2.10    To transfer its rights and obligations under this Agreement to any third party.</w:t>
      </w:r>
    </w:p>
    <w:p>
      <w:pPr>
        <w:spacing w:after="0" w:line="225" w:lineRule="exact"/>
        <w:rPr>
          <w:rFonts w:ascii="Arial" w:cs="Arial" w:eastAsia="Arial" w:hAnsi="Arial"/>
          <w:sz w:val="16"/>
          <w:szCs w:val="16"/>
          <w:color w:val="auto"/>
        </w:rPr>
      </w:pPr>
    </w:p>
    <w:p>
      <w:pPr>
        <w:ind w:left="660" w:right="120" w:hanging="652"/>
        <w:spacing w:after="0" w:line="342" w:lineRule="auto"/>
        <w:tabs>
          <w:tab w:leader="none" w:pos="6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order to ensure the performance of the various business agreements between Party A and Party B and the payment by Party B of the amounts payable to Party A thereunder, Party B, together with its shareholders Party C and Party D, hereby jointly agree to accept and comply in all respects</w:t>
      </w:r>
    </w:p>
    <w:p>
      <w:pPr>
        <w:sectPr>
          <w:pgSz w:w="11900" w:h="16908" w:orient="portrait"/>
          <w:cols w:equalWidth="0" w:num="1">
            <w:col w:w="11420"/>
          </w:cols>
          <w:pgMar w:left="240" w:top="121" w:right="239" w:bottom="0" w:gutter="0" w:footer="0" w:header="0"/>
        </w:sectPr>
      </w:pPr>
    </w:p>
    <w:bookmarkStart w:id="149" w:name="page150"/>
    <w:bookmarkEnd w:id="149"/>
    <w:p>
      <w:pPr>
        <w:ind w:left="652" w:right="260"/>
        <w:spacing w:after="0" w:line="277" w:lineRule="auto"/>
        <w:rPr>
          <w:sz w:val="20"/>
          <w:szCs w:val="20"/>
          <w:color w:val="auto"/>
        </w:rPr>
      </w:pPr>
      <w:r>
        <w:rPr>
          <w:rFonts w:ascii="Arial" w:cs="Arial" w:eastAsia="Arial" w:hAnsi="Arial"/>
          <w:sz w:val="18"/>
          <w:szCs w:val="18"/>
          <w:color w:val="auto"/>
        </w:rPr>
        <w:t>with advice and guidance provided by Party A from time to time relating to its corporate policies on matters such as employment and dismissal of employees, daily operations and management, and financial management.</w:t>
      </w:r>
    </w:p>
    <w:p>
      <w:pPr>
        <w:spacing w:after="0" w:line="170" w:lineRule="exact"/>
        <w:rPr>
          <w:sz w:val="20"/>
          <w:szCs w:val="20"/>
          <w:color w:val="auto"/>
        </w:rPr>
      </w:pPr>
    </w:p>
    <w:p>
      <w:pPr>
        <w:ind w:left="652" w:hanging="652"/>
        <w:spacing w:after="0" w:line="255" w:lineRule="auto"/>
        <w:tabs>
          <w:tab w:leader="none" w:pos="65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Party B, together with its shareholders Party C and Party D, hereby jointly agree that Party C and Party D shall appoint candidates recommended by Party A as directors of Party B, and Party B shall appoint Party A’s senior executive officers recommended by Party A as its president, chief financial officer and other senior executive officers. If any of the above-mentioned senior executive officers of Party A leaves Party A, whether voluntarily or as a result of dismissal by Party A, he or she shall also lose his/her right to hold any position at Party B, and Party B shall appoint other senior executive officers of Party A recommended by Party A to fill such a position. The persons recommended by Party A in accordance with this Article 5 shall comply with the legal requirements regarding the qualifications of directors, presidents, chief financial officers, and other senior executive officers.</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60" w:hanging="652"/>
        <w:spacing w:after="0" w:line="257" w:lineRule="auto"/>
        <w:tabs>
          <w:tab w:leader="none" w:pos="6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Party B, together with its shareholders Party C and Party D,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p>
      <w:pPr>
        <w:spacing w:after="0" w:line="188" w:lineRule="exact"/>
        <w:rPr>
          <w:rFonts w:ascii="Arial" w:cs="Arial" w:eastAsia="Arial" w:hAnsi="Arial"/>
          <w:sz w:val="18"/>
          <w:szCs w:val="18"/>
          <w:color w:val="auto"/>
        </w:rPr>
      </w:pPr>
    </w:p>
    <w:p>
      <w:pPr>
        <w:ind w:left="652" w:right="340" w:hanging="652"/>
        <w:spacing w:after="0" w:line="277" w:lineRule="auto"/>
        <w:tabs>
          <w:tab w:leader="none" w:pos="6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the event that any of the agreements between Party A and Party B terminates or expires, Party A shall have the right, but not the obligation, to terminate all agreements between Party A and Party B including, but not limited to, the Cooperation Agreement.</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amendment or supplement to this Agreement shall be made in writing. The amendment or supplement duly executed by all Parties shall form an integral part of this Agreement and shall have the same legal effect as this Agreement.</w:t>
      </w:r>
    </w:p>
    <w:p>
      <w:pPr>
        <w:spacing w:after="0" w:line="170" w:lineRule="exact"/>
        <w:rPr>
          <w:rFonts w:ascii="Arial" w:cs="Arial" w:eastAsia="Arial" w:hAnsi="Arial"/>
          <w:sz w:val="18"/>
          <w:szCs w:val="18"/>
          <w:color w:val="auto"/>
        </w:rPr>
      </w:pPr>
    </w:p>
    <w:p>
      <w:pPr>
        <w:ind w:left="652" w:right="400" w:hanging="652"/>
        <w:spacing w:after="0" w:line="264" w:lineRule="auto"/>
        <w:tabs>
          <w:tab w:leader="none" w:pos="6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81" w:lineRule="exact"/>
        <w:rPr>
          <w:rFonts w:ascii="Arial" w:cs="Arial" w:eastAsia="Arial" w:hAnsi="Arial"/>
          <w:sz w:val="18"/>
          <w:szCs w:val="18"/>
          <w:color w:val="auto"/>
        </w:rPr>
      </w:pPr>
    </w:p>
    <w:p>
      <w:pPr>
        <w:ind w:left="652" w:right="80" w:hanging="652"/>
        <w:spacing w:after="0" w:line="264" w:lineRule="auto"/>
        <w:tabs>
          <w:tab w:leader="none" w:pos="6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p>
      <w:pPr>
        <w:spacing w:after="0" w:line="181" w:lineRule="exact"/>
        <w:rPr>
          <w:rFonts w:ascii="Arial" w:cs="Arial" w:eastAsia="Arial" w:hAnsi="Arial"/>
          <w:sz w:val="18"/>
          <w:szCs w:val="18"/>
          <w:color w:val="auto"/>
        </w:rPr>
      </w:pPr>
    </w:p>
    <w:p>
      <w:pPr>
        <w:ind w:left="652" w:right="60" w:hanging="652"/>
        <w:spacing w:after="0" w:line="290" w:lineRule="auto"/>
        <w:tabs>
          <w:tab w:leader="none" w:pos="6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32" w:hanging="632"/>
        <w:spacing w:after="0"/>
        <w:tabs>
          <w:tab w:leader="none" w:pos="63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formation, validity, interpretation and performance of and settlement of disputes under this Agreement shall be governed by the laws of the PRC.</w:t>
      </w:r>
    </w:p>
    <w:p>
      <w:pPr>
        <w:spacing w:after="0" w:line="248" w:lineRule="exact"/>
        <w:rPr>
          <w:rFonts w:ascii="Arial" w:cs="Arial" w:eastAsia="Arial" w:hAnsi="Arial"/>
          <w:sz w:val="16"/>
          <w:szCs w:val="16"/>
          <w:color w:val="auto"/>
        </w:rPr>
      </w:pPr>
    </w:p>
    <w:p>
      <w:pPr>
        <w:ind w:left="652" w:right="20" w:hanging="652"/>
        <w:spacing w:after="0" w:line="257" w:lineRule="auto"/>
        <w:tabs>
          <w:tab w:leader="none" w:pos="6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This Agreement shall be executed by a duly authorized representative of each Party and become effective as of the date first written above.</w:t>
      </w:r>
    </w:p>
    <w:p>
      <w:pPr>
        <w:spacing w:after="0" w:line="236" w:lineRule="exact"/>
        <w:rPr>
          <w:rFonts w:ascii="Arial" w:cs="Arial" w:eastAsia="Arial" w:hAnsi="Arial"/>
          <w:sz w:val="17"/>
          <w:szCs w:val="17"/>
          <w:color w:val="auto"/>
        </w:rPr>
      </w:pPr>
    </w:p>
    <w:p>
      <w:pPr>
        <w:ind w:left="652" w:right="280" w:hanging="652"/>
        <w:spacing w:after="0" w:line="264" w:lineRule="auto"/>
        <w:tabs>
          <w:tab w:leader="none" w:pos="6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Notwithstanding Article 13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81" w:lineRule="exact"/>
        <w:rPr>
          <w:rFonts w:ascii="Arial" w:cs="Arial" w:eastAsia="Arial" w:hAnsi="Arial"/>
          <w:sz w:val="18"/>
          <w:szCs w:val="18"/>
          <w:color w:val="auto"/>
        </w:rPr>
      </w:pPr>
    </w:p>
    <w:p>
      <w:pPr>
        <w:ind w:left="652" w:right="80" w:hanging="652"/>
        <w:spacing w:after="0" w:line="276" w:lineRule="auto"/>
        <w:tabs>
          <w:tab w:leader="none" w:pos="64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 expired or terminated for other reasons within the aforesaid term of this Agreement, this Agreement shall be terminated simultaneously, unless such Party has already assigned its rights and obligations hereunder in accordance with Article 9 hereof.</w:t>
      </w:r>
    </w:p>
    <w:p>
      <w:pPr>
        <w:spacing w:after="0" w:line="172" w:lineRule="exact"/>
        <w:rPr>
          <w:rFonts w:ascii="Arial" w:cs="Arial" w:eastAsia="Arial" w:hAnsi="Arial"/>
          <w:sz w:val="17"/>
          <w:szCs w:val="17"/>
          <w:color w:val="auto"/>
        </w:rPr>
      </w:pPr>
    </w:p>
    <w:p>
      <w:pPr>
        <w:ind w:left="652" w:right="240" w:hanging="652"/>
        <w:spacing w:after="0" w:line="264" w:lineRule="auto"/>
        <w:tabs>
          <w:tab w:leader="none" w:pos="6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This Agreement shall be executed in four originals, with each Party holding one original. All originals shall have the same legal effect.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 text below on this page]</w:t>
      </w:r>
    </w:p>
    <w:p>
      <w:pPr>
        <w:sectPr>
          <w:pgSz w:w="11900" w:h="16838" w:orient="portrait"/>
          <w:cols w:equalWidth="0" w:num="1">
            <w:col w:w="11412"/>
          </w:cols>
          <w:pgMar w:left="248" w:top="125" w:right="239" w:bottom="0" w:gutter="0" w:footer="0" w:header="0"/>
        </w:sectPr>
      </w:pPr>
    </w:p>
    <w:bookmarkStart w:id="150" w:name="page151"/>
    <w:bookmarkEnd w:id="150"/>
    <w:p>
      <w:pPr>
        <w:jc w:val="center"/>
        <w:ind w:right="-3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THEREOF</w:t>
      </w:r>
      <w:r>
        <w:rPr>
          <w:rFonts w:ascii="Arial" w:cs="Arial" w:eastAsia="Arial" w:hAnsi="Arial"/>
          <w:sz w:val="18"/>
          <w:szCs w:val="18"/>
          <w:color w:val="auto"/>
        </w:rPr>
        <w:t>, each Party hereto has caused this Agreement to be duly executed by himself/herself or a duly authorized representative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(Hangzhou) Network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Authorized Representative:</w:t>
            </w:r>
          </w:p>
        </w:tc>
        <w:tc>
          <w:tcPr>
            <w:tcW w:w="1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Lei Ding</w:t>
            </w:r>
          </w:p>
        </w:tc>
        <w:tc>
          <w:tcPr>
            <w:tcW w:w="1920" w:type="dxa"/>
            <w:vAlign w:val="bottom"/>
            <w:tcBorders>
              <w:bottom w:val="single" w:sz="8" w:color="auto"/>
            </w:tcBorders>
          </w:tcPr>
          <w:p>
            <w:pPr>
              <w:spacing w:after="0"/>
              <w:rPr>
                <w:sz w:val="20"/>
                <w:szCs w:val="20"/>
                <w:color w:val="auto"/>
              </w:rPr>
            </w:pPr>
          </w:p>
        </w:tc>
      </w:tr>
      <w:tr>
        <w:trPr>
          <w:trHeight w:val="41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w w:val="92"/>
              </w:rPr>
              <w:t>Party B: Hangzhou Leihuo Network Co., Ltd. (seal)</w:t>
            </w: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Authorized Representative:</w:t>
            </w:r>
          </w:p>
        </w:tc>
        <w:tc>
          <w:tcPr>
            <w:tcW w:w="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Lei Ding</w:t>
            </w:r>
          </w:p>
        </w:tc>
        <w:tc>
          <w:tcPr>
            <w:tcW w:w="1920" w:type="dxa"/>
            <w:vAlign w:val="bottom"/>
            <w:tcBorders>
              <w:bottom w:val="single" w:sz="8" w:color="auto"/>
            </w:tcBorders>
          </w:tcPr>
          <w:p>
            <w:pPr>
              <w:spacing w:after="0"/>
              <w:rPr>
                <w:sz w:val="24"/>
                <w:szCs w:val="24"/>
                <w:color w:val="auto"/>
              </w:rPr>
            </w:pPr>
          </w:p>
        </w:tc>
      </w:tr>
      <w:tr>
        <w:trPr>
          <w:trHeight w:val="41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Party C: Chen Gang</w:t>
            </w: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30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Chen Gang</w:t>
            </w:r>
          </w:p>
        </w:tc>
        <w:tc>
          <w:tcPr>
            <w:tcW w:w="3220" w:type="dxa"/>
            <w:vAlign w:val="bottom"/>
            <w:tcBorders>
              <w:bottom w:val="single" w:sz="8" w:color="auto"/>
            </w:tcBorders>
          </w:tcPr>
          <w:p>
            <w:pPr>
              <w:spacing w:after="0"/>
              <w:rPr>
                <w:sz w:val="24"/>
                <w:szCs w:val="24"/>
                <w:color w:val="auto"/>
              </w:rPr>
            </w:pPr>
          </w:p>
        </w:tc>
        <w:tc>
          <w:tcPr>
            <w:tcW w:w="1920" w:type="dxa"/>
            <w:vAlign w:val="bottom"/>
          </w:tcPr>
          <w:p>
            <w:pPr>
              <w:spacing w:after="0"/>
              <w:rPr>
                <w:sz w:val="24"/>
                <w:szCs w:val="24"/>
                <w:color w:val="auto"/>
              </w:rPr>
            </w:pPr>
          </w:p>
        </w:tc>
      </w:tr>
      <w:tr>
        <w:trPr>
          <w:trHeight w:val="41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Party D: Hu Zhipeng</w:t>
            </w: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30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Hu Zhipeng</w:t>
            </w:r>
          </w:p>
        </w:tc>
        <w:tc>
          <w:tcPr>
            <w:tcW w:w="3220" w:type="dxa"/>
            <w:vAlign w:val="bottom"/>
            <w:tcBorders>
              <w:bottom w:val="single" w:sz="8" w:color="auto"/>
            </w:tcBorders>
          </w:tcPr>
          <w:p>
            <w:pPr>
              <w:spacing w:after="0"/>
              <w:rPr>
                <w:sz w:val="24"/>
                <w:szCs w:val="24"/>
                <w:color w:val="auto"/>
              </w:rPr>
            </w:pPr>
          </w:p>
        </w:tc>
        <w:tc>
          <w:tcPr>
            <w:tcW w:w="1920" w:type="dxa"/>
            <w:vAlign w:val="bottom"/>
          </w:tcPr>
          <w:p>
            <w:pPr>
              <w:spacing w:after="0"/>
              <w:rPr>
                <w:sz w:val="24"/>
                <w:szCs w:val="24"/>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4.32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Room 103-105, 1/F, Building 18, No.1 Jiaogong Road, Hangzhou, Zhejiang Province, P.R. China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b w:val="1"/>
          <w:bCs w:val="1"/>
          <w:color w:val="auto"/>
        </w:rPr>
        <w:t>Hangzhou Leihuo Network Co., Ltd.</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Room 601-603, 6/F, Building 18, No.1 Jiaogong Road, West Lake District, Hangzhou, Zhejiang Province, P. R.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jc w:val="both"/>
        <w:ind w:left="400" w:right="300" w:hanging="392"/>
        <w:spacing w:after="0" w:line="264" w:lineRule="auto"/>
        <w:tabs>
          <w:tab w:leader="none" w:pos="39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Party A is an enterprise incorporated under the laws of the PRC, mainly engaging in businesses such as the development and production of computer software, hardware, the development and service of network communication products, internet portal technology, e-commerce technology, electronic publishing technology, and the sales of products manufactured by itself.</w:t>
      </w:r>
    </w:p>
    <w:p>
      <w:pPr>
        <w:spacing w:after="0" w:line="181" w:lineRule="exact"/>
        <w:rPr>
          <w:rFonts w:ascii="Arial" w:cs="Arial" w:eastAsia="Arial" w:hAnsi="Arial"/>
          <w:sz w:val="18"/>
          <w:szCs w:val="18"/>
          <w:color w:val="auto"/>
        </w:rPr>
      </w:pPr>
    </w:p>
    <w:p>
      <w:pPr>
        <w:ind w:left="400" w:right="360" w:hanging="392"/>
        <w:spacing w:after="0" w:line="291" w:lineRule="auto"/>
        <w:tabs>
          <w:tab w:leader="none" w:pos="39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Party B is an enterprise incorporated under the laws of the PRC, engaging in the business of Value-Added Telecommunications pursuant to the permission of the Telecommunications Administration of Zhejiang Province. Party B is the holder of the Value-added Telecommunication Business</w:t>
      </w:r>
    </w:p>
    <w:p>
      <w:pPr>
        <w:ind w:left="400"/>
        <w:spacing w:after="0"/>
        <w:tabs>
          <w:tab w:leader="none" w:pos="2140" w:val="left"/>
        </w:tabs>
        <w:rPr>
          <w:sz w:val="20"/>
          <w:szCs w:val="20"/>
          <w:color w:val="auto"/>
        </w:rPr>
      </w:pPr>
      <w:r>
        <w:rPr>
          <w:rFonts w:ascii="Arial" w:cs="Arial" w:eastAsia="Arial" w:hAnsi="Arial"/>
          <w:sz w:val="18"/>
          <w:szCs w:val="18"/>
          <w:color w:val="auto"/>
        </w:rPr>
        <w:t>Permit (</w:t>
      </w:r>
      <w:r>
        <w:rPr>
          <w:sz w:val="20"/>
          <w:szCs w:val="20"/>
          <w:color w:val="auto"/>
        </w:rPr>
        <w:tab/>
      </w:r>
      <w:r>
        <w:rPr>
          <w:rFonts w:ascii="Arial" w:cs="Arial" w:eastAsia="Arial" w:hAnsi="Arial"/>
          <w:sz w:val="16"/>
          <w:szCs w:val="16"/>
          <w:color w:val="auto"/>
        </w:rPr>
        <w:t>) of Leihuo Website.</w:t>
      </w:r>
    </w:p>
    <w:p>
      <w:pPr>
        <w:spacing w:after="0" w:line="211" w:lineRule="exact"/>
        <w:rPr>
          <w:sz w:val="20"/>
          <w:szCs w:val="20"/>
          <w:color w:val="auto"/>
        </w:rPr>
      </w:pPr>
    </w:p>
    <w:p>
      <w:pPr>
        <w:ind w:right="3540" w:firstLine="8"/>
        <w:spacing w:after="0" w:line="498" w:lineRule="auto"/>
        <w:tabs>
          <w:tab w:leader="none" w:pos="37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Party A and Party B shall cooperate with each other in joint business operation to face and serve clients. NOW, THEREFORE, Party A and Party B agree as follows after negotiation:</w:t>
      </w:r>
    </w:p>
    <w:p>
      <w:pPr>
        <w:spacing w:after="0" w:line="1" w:lineRule="exact"/>
        <w:rPr>
          <w:sz w:val="20"/>
          <w:szCs w:val="20"/>
          <w:color w:val="auto"/>
        </w:rPr>
      </w:pPr>
    </w:p>
    <w:p>
      <w:pPr>
        <w:ind w:left="380" w:hanging="372"/>
        <w:spacing w:after="0"/>
        <w:tabs>
          <w:tab w:leader="none" w:pos="3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Scope of Cooperation</w:t>
      </w:r>
    </w:p>
    <w:p>
      <w:pPr>
        <w:spacing w:after="0" w:line="229"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Party A and Party B agree to cooperate and provide services to each other according to the provisions stated on Appendix 1, attached to this Agreement.</w:t>
      </w:r>
    </w:p>
    <w:p>
      <w:pPr>
        <w:spacing w:after="0" w:line="166" w:lineRule="exact"/>
        <w:rPr>
          <w:sz w:val="20"/>
          <w:szCs w:val="20"/>
          <w:color w:val="auto"/>
        </w:rPr>
      </w:pPr>
    </w:p>
    <w:p>
      <w:pPr>
        <w:ind w:left="380" w:hanging="372"/>
        <w:spacing w:after="0"/>
        <w:tabs>
          <w:tab w:leader="none" w:pos="3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Manner of Joint Service</w:t>
      </w:r>
    </w:p>
    <w:p>
      <w:pPr>
        <w:spacing w:after="0" w:line="229" w:lineRule="exact"/>
        <w:rPr>
          <w:rFonts w:ascii="Arial" w:cs="Arial" w:eastAsia="Arial" w:hAnsi="Arial"/>
          <w:sz w:val="18"/>
          <w:szCs w:val="18"/>
          <w:b w:val="1"/>
          <w:bCs w:val="1"/>
          <w:color w:val="auto"/>
        </w:rPr>
      </w:pPr>
    </w:p>
    <w:p>
      <w:pPr>
        <w:ind w:left="660" w:right="120" w:hanging="328"/>
        <w:spacing w:after="0" w:line="302" w:lineRule="auto"/>
        <w:tabs>
          <w:tab w:leader="none" w:pos="66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Party A and Party B agree to cooperate according to the provisions of Article 1 hereinabove during the term of this Agreement to render services to clients. In addition, separate technology service agreements may be executed with regard to the detailed contents of other technology services to stipulate the specific content, manner, personnel, expense (charges, etc.) for each of such technology services. Each of the above technology service agreements shall be deemed as an annex to this Agreement, and shall have the same legal effect as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328"/>
        <w:spacing w:after="0" w:line="312" w:lineRule="auto"/>
        <w:tabs>
          <w:tab w:leader="none" w:pos="66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Besides the services stipulated in Article 1, Party A shall also utilize its own resources to promote and advertise the cooperation projects between Party A and Party B, and shall bear the relevant expenses incurred thereby. Meanwhile, Party A shall pay the costs for the services rendered pursuant to this Article 1, including, without limitation, the remuneration for R&amp;D personnel, leasing expense for equipment, PR expenses, etc.</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Party A and Party B agree that Party B shall acquire service revenues from clients and shall distribute the same according to Article 3 hereunder.</w:t>
      </w:r>
    </w:p>
    <w:p>
      <w:pPr>
        <w:spacing w:after="0" w:line="248" w:lineRule="exact"/>
        <w:rPr>
          <w:rFonts w:ascii="Arial" w:cs="Arial" w:eastAsia="Arial" w:hAnsi="Arial"/>
          <w:sz w:val="16"/>
          <w:szCs w:val="16"/>
          <w:color w:val="auto"/>
        </w:rPr>
      </w:pPr>
    </w:p>
    <w:p>
      <w:pPr>
        <w:ind w:left="660" w:right="40" w:hanging="328"/>
        <w:spacing w:after="0" w:line="277" w:lineRule="auto"/>
        <w:tabs>
          <w:tab w:leader="none" w:pos="661" w:val="left"/>
        </w:tabs>
        <w:numPr>
          <w:ilvl w:val="1"/>
          <w:numId w:val="273"/>
        </w:numPr>
        <w:rPr>
          <w:rFonts w:ascii="Arial" w:cs="Arial" w:eastAsia="Arial" w:hAnsi="Arial"/>
          <w:sz w:val="18"/>
          <w:szCs w:val="18"/>
          <w:color w:val="auto"/>
        </w:rPr>
      </w:pPr>
      <w:r>
        <w:rPr>
          <w:rFonts w:ascii="Arial" w:cs="Arial" w:eastAsia="Arial" w:hAnsi="Arial"/>
          <w:sz w:val="18"/>
          <w:szCs w:val="18"/>
          <w:color w:val="auto"/>
        </w:rPr>
        <w:t>Party A agrees that Party B may cooperate with any third party (including other companies of the NetEase group) it may select to provide services to the users of Leihuo Website jointly and may share the distributable revenues among the other cooperative parties.</w:t>
      </w:r>
    </w:p>
    <w:p>
      <w:pPr>
        <w:spacing w:after="0" w:line="166" w:lineRule="exact"/>
        <w:rPr>
          <w:rFonts w:ascii="Arial" w:cs="Arial" w:eastAsia="Arial" w:hAnsi="Arial"/>
          <w:sz w:val="18"/>
          <w:szCs w:val="18"/>
          <w:color w:val="auto"/>
        </w:rPr>
      </w:pPr>
    </w:p>
    <w:p>
      <w:pPr>
        <w:ind w:left="380" w:hanging="372"/>
        <w:spacing w:after="0"/>
        <w:tabs>
          <w:tab w:leader="none" w:pos="3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Share of the Cooperative Service Revenue and Payment Method</w:t>
      </w:r>
    </w:p>
    <w:p>
      <w:pPr>
        <w:spacing w:after="0" w:line="229" w:lineRule="exact"/>
        <w:rPr>
          <w:sz w:val="20"/>
          <w:szCs w:val="20"/>
          <w:color w:val="auto"/>
        </w:rPr>
      </w:pPr>
    </w:p>
    <w:p>
      <w:pPr>
        <w:ind w:left="720" w:right="240"/>
        <w:spacing w:after="0" w:line="264" w:lineRule="auto"/>
        <w:rPr>
          <w:sz w:val="20"/>
          <w:szCs w:val="20"/>
          <w:color w:val="auto"/>
        </w:rPr>
      </w:pPr>
      <w:r>
        <w:rPr>
          <w:rFonts w:ascii="Arial" w:cs="Arial" w:eastAsia="Arial" w:hAnsi="Arial"/>
          <w:sz w:val="18"/>
          <w:szCs w:val="18"/>
          <w:color w:val="auto"/>
        </w:rPr>
        <w:t>Since Party B owns Leihuo Website, all services rendered pursuant to this Agreement must be operated through Leihuo Website, and all revenues must be charged through Leihuo Website as well. Therefore, Party A and Party B agree to share the revenues generated under this Agreement according to the methods stated on Appendix 2 attached to this Agreement.</w:t>
      </w:r>
    </w:p>
    <w:p>
      <w:pPr>
        <w:spacing w:after="0" w:line="177"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and Confidential Provisions</w:t>
      </w:r>
    </w:p>
    <w:p>
      <w:pPr>
        <w:spacing w:after="0" w:line="229" w:lineRule="exact"/>
        <w:rPr>
          <w:rFonts w:ascii="Arial" w:cs="Arial" w:eastAsia="Arial" w:hAnsi="Arial"/>
          <w:sz w:val="18"/>
          <w:szCs w:val="18"/>
          <w:b w:val="1"/>
          <w:bCs w:val="1"/>
          <w:color w:val="auto"/>
        </w:rPr>
      </w:pPr>
    </w:p>
    <w:p>
      <w:pPr>
        <w:ind w:left="660" w:right="480" w:hanging="328"/>
        <w:spacing w:after="0" w:line="277" w:lineRule="auto"/>
        <w:tabs>
          <w:tab w:leader="none" w:pos="66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Party A shall have sole and exclusive rights for any rights, ownership, interest, including, without limitation, any copyright, patent, proprietary rights, business secrets, etc., over all and any intellectual property created from the performance of this Agreement.</w:t>
      </w:r>
    </w:p>
    <w:p>
      <w:pPr>
        <w:spacing w:after="0" w:line="170" w:lineRule="exact"/>
        <w:rPr>
          <w:rFonts w:ascii="Arial" w:cs="Arial" w:eastAsia="Arial" w:hAnsi="Arial"/>
          <w:sz w:val="18"/>
          <w:szCs w:val="18"/>
          <w:color w:val="auto"/>
        </w:rPr>
      </w:pPr>
    </w:p>
    <w:p>
      <w:pPr>
        <w:ind w:left="660" w:right="100" w:hanging="328"/>
        <w:spacing w:after="0" w:line="342" w:lineRule="auto"/>
        <w:tabs>
          <w:tab w:leader="none" w:pos="66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With the written consent of the rightful owner, Party B may accept the transfer of any rights, ownership, interests of all and any intellectual property created from Party A’s performance of this Agreement, with the transfer method to be determined between the both Parties separately.</w:t>
      </w:r>
    </w:p>
    <w:p>
      <w:pPr>
        <w:spacing w:after="0" w:line="123" w:lineRule="exact"/>
        <w:rPr>
          <w:rFonts w:ascii="Arial" w:cs="Arial" w:eastAsia="Arial" w:hAnsi="Arial"/>
          <w:sz w:val="16"/>
          <w:szCs w:val="16"/>
          <w:color w:val="auto"/>
        </w:rPr>
      </w:pPr>
    </w:p>
    <w:p>
      <w:pPr>
        <w:ind w:left="660" w:right="80" w:hanging="328"/>
        <w:spacing w:after="0" w:line="297" w:lineRule="auto"/>
        <w:tabs>
          <w:tab w:leader="none" w:pos="66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Party A agrees to use its best reasonable efforts to protect all information marked with “</w:t>
      </w:r>
      <w:r>
        <w:rPr>
          <w:rFonts w:ascii="Arial" w:cs="Arial" w:eastAsia="Arial" w:hAnsi="Arial"/>
          <w:sz w:val="16"/>
          <w:szCs w:val="16"/>
          <w:b w:val="1"/>
          <w:bCs w:val="1"/>
          <w:i w:val="1"/>
          <w:iCs w:val="1"/>
          <w:color w:val="auto"/>
        </w:rPr>
        <w:t>confidential</w:t>
      </w:r>
      <w:r>
        <w:rPr>
          <w:rFonts w:ascii="Arial" w:cs="Arial" w:eastAsia="Arial" w:hAnsi="Arial"/>
          <w:sz w:val="16"/>
          <w:szCs w:val="16"/>
          <w:color w:val="auto"/>
        </w:rPr>
        <w:t>” or all or part of the information of Party B known to Party A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and to keep the confidentiality of the same. Without the prior written consent of Party B, Party A shall not disclose, provide, or transfer such Confidential Information to any third party. Upon the termination or expiration of this Agreement, Party A shall return any document, material or software containing such Confidential Information to its respective owner according to Party B’s requests, or shall destroy the same by itself, and shall delete any Confidential Information stored in Party A’s electronic devices and shall stop using the same.</w:t>
      </w:r>
    </w:p>
    <w:p>
      <w:pPr>
        <w:sectPr>
          <w:pgSz w:w="11900" w:h="16838" w:orient="portrait"/>
          <w:cols w:equalWidth="0" w:num="1">
            <w:col w:w="11420"/>
          </w:cols>
          <w:pgMar w:left="240" w:top="121" w:right="239" w:bottom="11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152" w:name="page153"/>
    <w:bookmarkEnd w:id="152"/>
    <w:p>
      <w:pPr>
        <w:spacing w:after="0" w:line="50" w:lineRule="exact"/>
        <w:rPr>
          <w:sz w:val="20"/>
          <w:szCs w:val="20"/>
          <w:color w:val="auto"/>
        </w:rPr>
      </w:pPr>
    </w:p>
    <w:p>
      <w:pPr>
        <w:ind w:left="660" w:hanging="328"/>
        <w:spacing w:after="0"/>
        <w:tabs>
          <w:tab w:leader="none" w:pos="6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This Article 4.1, 4.2, and 4.3 shall survive the termination or expiration of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Party B hereby represents and warrants that:</w:t>
      </w:r>
    </w:p>
    <w:p>
      <w:pPr>
        <w:spacing w:after="0" w:line="225" w:lineRule="exact"/>
        <w:rPr>
          <w:rFonts w:ascii="Arial" w:cs="Arial" w:eastAsia="Arial" w:hAnsi="Arial"/>
          <w:sz w:val="18"/>
          <w:szCs w:val="18"/>
          <w:color w:val="auto"/>
        </w:rPr>
      </w:pPr>
    </w:p>
    <w:p>
      <w:pPr>
        <w:ind w:left="1040" w:hanging="394"/>
        <w:spacing w:after="0"/>
        <w:tabs>
          <w:tab w:leader="none" w:pos="104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Party B is a legally incorporated and validly existing enterprise registered in Hangzhou according the laws of PRC.</w:t>
      </w:r>
    </w:p>
    <w:p>
      <w:pPr>
        <w:spacing w:after="0" w:line="225" w:lineRule="exact"/>
        <w:rPr>
          <w:rFonts w:ascii="Arial" w:cs="Arial" w:eastAsia="Arial" w:hAnsi="Arial"/>
          <w:sz w:val="18"/>
          <w:szCs w:val="18"/>
          <w:color w:val="auto"/>
        </w:rPr>
      </w:pPr>
    </w:p>
    <w:p>
      <w:pPr>
        <w:ind w:left="1020" w:right="420" w:hanging="374"/>
        <w:spacing w:after="0" w:line="277" w:lineRule="auto"/>
        <w:tabs>
          <w:tab w:leader="none" w:pos="1036" w:val="left"/>
        </w:tabs>
        <w:numPr>
          <w:ilvl w:val="2"/>
          <w:numId w:val="277"/>
        </w:numPr>
        <w:rPr>
          <w:rFonts w:ascii="Arial" w:cs="Arial" w:eastAsia="Arial" w:hAnsi="Arial"/>
          <w:sz w:val="18"/>
          <w:szCs w:val="18"/>
          <w:color w:val="auto"/>
        </w:rPr>
      </w:pPr>
      <w:r>
        <w:rPr>
          <w:rFonts w:ascii="Arial" w:cs="Arial" w:eastAsia="Arial" w:hAnsi="Arial"/>
          <w:sz w:val="18"/>
          <w:szCs w:val="18"/>
          <w:color w:val="auto"/>
        </w:rPr>
        <w:t>Party B has all the rights, powers, authorities, and capabilities and all the consents and approvals necessary for the execution, delivery and performance of this Agreement.</w:t>
      </w:r>
    </w:p>
    <w:p>
      <w:pPr>
        <w:spacing w:after="0" w:line="170" w:lineRule="exact"/>
        <w:rPr>
          <w:rFonts w:ascii="Arial" w:cs="Arial" w:eastAsia="Arial" w:hAnsi="Arial"/>
          <w:sz w:val="18"/>
          <w:szCs w:val="18"/>
          <w:color w:val="auto"/>
        </w:rPr>
      </w:pPr>
    </w:p>
    <w:p>
      <w:pPr>
        <w:ind w:left="1040" w:hanging="394"/>
        <w:spacing w:after="0"/>
        <w:tabs>
          <w:tab w:leader="none" w:pos="104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This Agreement will be legal, effective and binding on Party B upon execution, and may be enforced according to its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Party A hereby represents and warrants that:</w:t>
      </w:r>
    </w:p>
    <w:p>
      <w:pPr>
        <w:spacing w:after="0" w:line="225" w:lineRule="exact"/>
        <w:rPr>
          <w:rFonts w:ascii="Arial" w:cs="Arial" w:eastAsia="Arial" w:hAnsi="Arial"/>
          <w:sz w:val="18"/>
          <w:szCs w:val="18"/>
          <w:color w:val="auto"/>
        </w:rPr>
      </w:pPr>
    </w:p>
    <w:p>
      <w:pPr>
        <w:ind w:left="1040" w:hanging="394"/>
        <w:spacing w:after="0"/>
        <w:tabs>
          <w:tab w:leader="none" w:pos="104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Party A is a legally incorporated and validly existing enterprise registered in Hangzhou according the laws of PRC.</w:t>
      </w:r>
    </w:p>
    <w:p>
      <w:pPr>
        <w:spacing w:after="0" w:line="225" w:lineRule="exact"/>
        <w:rPr>
          <w:rFonts w:ascii="Arial" w:cs="Arial" w:eastAsia="Arial" w:hAnsi="Arial"/>
          <w:sz w:val="18"/>
          <w:szCs w:val="18"/>
          <w:color w:val="auto"/>
        </w:rPr>
      </w:pPr>
    </w:p>
    <w:p>
      <w:pPr>
        <w:ind w:left="1020" w:right="420" w:hanging="374"/>
        <w:spacing w:after="0" w:line="277" w:lineRule="auto"/>
        <w:tabs>
          <w:tab w:leader="none" w:pos="1036" w:val="left"/>
        </w:tabs>
        <w:numPr>
          <w:ilvl w:val="2"/>
          <w:numId w:val="277"/>
        </w:numPr>
        <w:rPr>
          <w:rFonts w:ascii="Arial" w:cs="Arial" w:eastAsia="Arial" w:hAnsi="Arial"/>
          <w:sz w:val="18"/>
          <w:szCs w:val="18"/>
          <w:color w:val="auto"/>
        </w:rPr>
      </w:pPr>
      <w:r>
        <w:rPr>
          <w:rFonts w:ascii="Arial" w:cs="Arial" w:eastAsia="Arial" w:hAnsi="Arial"/>
          <w:sz w:val="18"/>
          <w:szCs w:val="18"/>
          <w:color w:val="auto"/>
        </w:rPr>
        <w:t>Party A has all the rights, powers, authorities, and capabilities and all the consents and approvals necessary for the execution, delivery and performance of this Agreement.</w:t>
      </w:r>
    </w:p>
    <w:p>
      <w:pPr>
        <w:spacing w:after="0" w:line="170" w:lineRule="exact"/>
        <w:rPr>
          <w:rFonts w:ascii="Arial" w:cs="Arial" w:eastAsia="Arial" w:hAnsi="Arial"/>
          <w:sz w:val="18"/>
          <w:szCs w:val="18"/>
          <w:color w:val="auto"/>
        </w:rPr>
      </w:pPr>
    </w:p>
    <w:p>
      <w:pPr>
        <w:ind w:left="1040" w:hanging="394"/>
        <w:spacing w:after="0"/>
        <w:tabs>
          <w:tab w:leader="none" w:pos="104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This Agreement will be legal, effective and binding on Party A upon execution, and may be enforced according to its provisions.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Effectuation and Term of Cooperation</w:t>
      </w:r>
    </w:p>
    <w:p>
      <w:pPr>
        <w:spacing w:after="0" w:line="229" w:lineRule="exact"/>
        <w:rPr>
          <w:rFonts w:ascii="Arial" w:cs="Arial" w:eastAsia="Arial" w:hAnsi="Arial"/>
          <w:sz w:val="18"/>
          <w:szCs w:val="18"/>
          <w:b w:val="1"/>
          <w:bCs w:val="1"/>
          <w:color w:val="auto"/>
        </w:rPr>
      </w:pPr>
    </w:p>
    <w:p>
      <w:pPr>
        <w:ind w:left="6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will become effective on January 1, 2010 upon execution and affixing seals by both the Parties. Unless terminated earlier pursuant to the provisions herein, this Agreement shall remain effective.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660" w:hanging="328"/>
        <w:spacing w:after="0" w:line="279" w:lineRule="auto"/>
        <w:tabs>
          <w:tab w:leader="none" w:pos="661" w:val="left"/>
        </w:tabs>
        <w:numPr>
          <w:ilvl w:val="1"/>
          <w:numId w:val="278"/>
        </w:numPr>
        <w:rPr>
          <w:rFonts w:ascii="Arial" w:cs="Arial" w:eastAsia="Arial" w:hAnsi="Arial"/>
          <w:sz w:val="17"/>
          <w:szCs w:val="17"/>
          <w:color w:val="auto"/>
        </w:rPr>
      </w:pPr>
      <w:r>
        <w:rPr>
          <w:rFonts w:ascii="Arial" w:cs="Arial" w:eastAsia="Arial" w:hAnsi="Arial"/>
          <w:sz w:val="17"/>
          <w:szCs w:val="17"/>
          <w:color w:val="auto"/>
        </w:rPr>
        <w:t>If any Party breaches this Agreement materially and fails to make rectification within 30 days after receiving the notice from the non-breaching Party regarding the occurrence of such breach, the non-breaching Party may, under the precondition that the rights and remedies of such non-breaching Party under law or otherwise not be harmed, terminate this Agreement immediately by sending notice to the breaching Party. During the term of this Agreement, Party A may terminate this Agreement by sending a written notice to the other Party 30 days in advance.</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Article 4 shall survive the termination or expiration of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rFonts w:ascii="Arial" w:cs="Arial" w:eastAsia="Arial" w:hAnsi="Arial"/>
          <w:sz w:val="18"/>
          <w:szCs w:val="18"/>
          <w:b w:val="1"/>
          <w:bCs w:val="1"/>
          <w:color w:val="auto"/>
        </w:rPr>
      </w:pPr>
    </w:p>
    <w:p>
      <w:pPr>
        <w:ind w:left="660" w:hanging="328"/>
        <w:spacing w:after="0" w:line="279" w:lineRule="auto"/>
        <w:tabs>
          <w:tab w:leader="none" w:pos="661" w:val="left"/>
        </w:tabs>
        <w:numPr>
          <w:ilvl w:val="1"/>
          <w:numId w:val="2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Force Majeure</w:t>
      </w:r>
      <w:r>
        <w:rPr>
          <w:rFonts w:ascii="Arial" w:cs="Arial" w:eastAsia="Arial" w:hAnsi="Arial"/>
          <w:sz w:val="17"/>
          <w:szCs w:val="17"/>
          <w:color w:val="auto"/>
        </w:rPr>
        <w:t>” refers to any matter that is out of the reasonable control of any Party and that is not avoidable even with reasonable attention of the Party being affected, including, without limitation, government act, natural forces, fire, explosion, storm, flood, earthquake, tide, thunder or war. However, credit, capital or financing insufficiency shall not be regarded as a matter of force majeure. The Party that is affected by Force Majeure and seeks for the relief from performing its obligations hereunder shall notify the other Party of such matter as soon as possible.</w:t>
      </w:r>
    </w:p>
    <w:p>
      <w:pPr>
        <w:spacing w:after="0" w:line="171" w:lineRule="exact"/>
        <w:rPr>
          <w:rFonts w:ascii="Arial" w:cs="Arial" w:eastAsia="Arial" w:hAnsi="Arial"/>
          <w:sz w:val="17"/>
          <w:szCs w:val="17"/>
          <w:color w:val="auto"/>
        </w:rPr>
      </w:pPr>
    </w:p>
    <w:p>
      <w:pPr>
        <w:ind w:left="660" w:hanging="328"/>
        <w:spacing w:after="0" w:line="257" w:lineRule="auto"/>
        <w:tabs>
          <w:tab w:leader="none" w:pos="661"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any Party is delayed or prevented from performing its obligations hereunder by a matter of Force Majeure, no Party shall be liable for any losses, increased expenses, or damages caused thereby under this Agreement, while such failure or delay of performance shall not be regarded as a breach of contract. However, the Party alleging to be affected by a matter of Force Majeure shall use its best efforts to reduce or eliminate the influence of such matter. Once such matter of Force Majeure is eliminated, the Parties affected thereby agree to use their best efforts to restore the performance of this Agreement.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Laws and Dispute Resolution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9.1 The formation, validity, interpretation and performance of and settlement of disputes under this Agreement shall be governed by the laws of the PRC.</w:t>
      </w:r>
    </w:p>
    <w:p>
      <w:pPr>
        <w:spacing w:after="0" w:line="170"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9.2 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Hangzhou, PRC. The Parties agree to submit to the jurisdiction of such court.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rFonts w:ascii="Arial" w:cs="Arial" w:eastAsia="Arial" w:hAnsi="Arial"/>
          <w:sz w:val="18"/>
          <w:szCs w:val="18"/>
          <w:b w:val="1"/>
          <w:bCs w:val="1"/>
          <w:color w:val="auto"/>
        </w:rPr>
      </w:pPr>
    </w:p>
    <w:p>
      <w:pPr>
        <w:jc w:val="both"/>
        <w:ind w:left="64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notice or other communication sent by any Party hereunder shall be written in Chinese and English, and shall be delivered to the following addresses of the recipient(s) through personal delivery, registered air mail, air mail with postage prepaid, recognized courier service or fax (with duplicates of the faxed documents to be sent by mail for confirmation).</w:t>
      </w:r>
    </w:p>
    <w:p>
      <w:pPr>
        <w:spacing w:after="0" w:line="18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Party A: NetEase (Hangzhou) Network Co., Ltd.</w:t>
      </w:r>
    </w:p>
    <w:p>
      <w:pPr>
        <w:spacing w:after="0" w:line="2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Room 103-105, 1F, Building 18, No.1 Jiaogong Road, Hangzhou, Zhejiang Province, P. R. China</w:t>
      </w:r>
    </w:p>
    <w:p>
      <w:pPr>
        <w:sectPr>
          <w:pgSz w:w="11900" w:h="16888" w:orient="portrait"/>
          <w:cols w:equalWidth="0" w:num="1">
            <w:col w:w="11420"/>
          </w:cols>
          <w:pgMar w:left="240" w:top="341" w:right="239" w:bottom="0" w:gutter="0" w:footer="0" w:header="0"/>
        </w:sectPr>
      </w:pPr>
    </w:p>
    <w:bookmarkStart w:id="153" w:name="page154"/>
    <w:bookmarkEnd w:id="153"/>
    <w:p>
      <w:pPr>
        <w:ind w:left="640"/>
        <w:spacing w:after="0"/>
        <w:rPr>
          <w:sz w:val="20"/>
          <w:szCs w:val="20"/>
          <w:color w:val="auto"/>
        </w:rPr>
      </w:pPr>
      <w:r>
        <w:rPr>
          <w:rFonts w:ascii="Arial" w:cs="Arial" w:eastAsia="Arial" w:hAnsi="Arial"/>
          <w:sz w:val="18"/>
          <w:szCs w:val="18"/>
          <w:color w:val="auto"/>
        </w:rPr>
        <w:t>Party B: Hangzhou Leihuo Network Co., Ltd.</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Room 601-603, 6/F, Building 18, No.1 Jiaogong Road, West Lake District, Hangzhou, Zhejiang Province, P. R. China</w:t>
      </w:r>
    </w:p>
    <w:p>
      <w:pPr>
        <w:spacing w:after="0" w:line="207" w:lineRule="exact"/>
        <w:rPr>
          <w:sz w:val="20"/>
          <w:szCs w:val="20"/>
          <w:color w:val="auto"/>
        </w:rPr>
      </w:pPr>
    </w:p>
    <w:p>
      <w:pPr>
        <w:ind w:left="640" w:hanging="632"/>
        <w:spacing w:after="0"/>
        <w:tabs>
          <w:tab w:leader="none" w:pos="6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None of the rights or obligations may be transferred to any third party without the prior written consent of the other Party.</w:t>
      </w:r>
    </w:p>
    <w:p>
      <w:pPr>
        <w:spacing w:after="0" w:line="225" w:lineRule="exact"/>
        <w:rPr>
          <w:rFonts w:ascii="Arial" w:cs="Arial" w:eastAsia="Arial" w:hAnsi="Arial"/>
          <w:sz w:val="18"/>
          <w:szCs w:val="18"/>
          <w:color w:val="auto"/>
        </w:rPr>
      </w:pPr>
    </w:p>
    <w:p>
      <w:pPr>
        <w:ind w:left="660" w:right="380" w:hanging="328"/>
        <w:spacing w:after="0" w:line="308" w:lineRule="auto"/>
        <w:tabs>
          <w:tab w:leader="none" w:pos="661" w:val="left"/>
        </w:tabs>
        <w:numPr>
          <w:ilvl w:val="1"/>
          <w:numId w:val="280"/>
        </w:numPr>
        <w:rPr>
          <w:rFonts w:ascii="Arial" w:cs="Arial" w:eastAsia="Arial" w:hAnsi="Arial"/>
          <w:sz w:val="17"/>
          <w:szCs w:val="17"/>
          <w:color w:val="auto"/>
        </w:rPr>
      </w:pPr>
      <w:r>
        <w:rPr>
          <w:rFonts w:ascii="Arial" w:cs="Arial" w:eastAsia="Arial" w:hAnsi="Arial"/>
          <w:sz w:val="17"/>
          <w:szCs w:val="17"/>
          <w:color w:val="auto"/>
        </w:rPr>
        <w:t>Party B hereby agrees that, Party A may transfer its rights and obligations hereunder to any third party at its own discretion. With regard to such transfer, Party A only needs to send a written notice to Party B and does not need to obtain any consent from Party B.</w:t>
      </w:r>
    </w:p>
    <w:p>
      <w:pPr>
        <w:spacing w:after="0" w:line="142" w:lineRule="exact"/>
        <w:rPr>
          <w:rFonts w:ascii="Arial" w:cs="Arial" w:eastAsia="Arial" w:hAnsi="Arial"/>
          <w:sz w:val="17"/>
          <w:szCs w:val="17"/>
          <w:color w:val="auto"/>
        </w:rPr>
      </w:pPr>
    </w:p>
    <w:p>
      <w:pPr>
        <w:ind w:left="660" w:hanging="652"/>
        <w:spacing w:after="0"/>
        <w:tabs>
          <w:tab w:leader="none" w:pos="6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rFonts w:ascii="Arial" w:cs="Arial" w:eastAsia="Arial" w:hAnsi="Arial"/>
          <w:sz w:val="18"/>
          <w:szCs w:val="18"/>
          <w:b w:val="1"/>
          <w:bCs w:val="1"/>
          <w:color w:val="auto"/>
        </w:rPr>
      </w:pPr>
    </w:p>
    <w:p>
      <w:pPr>
        <w:ind w:left="6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any provision herein becomes invalid, illegal or un-enforceable because of any laws, such provision shall only be invalid in the corresponding jurisdiction. The invalid provision shall not affect the legal effects of the remaining provisions of this Agreement in such jurisdiction, and shall not cause such provision to be invalid, illegal or un-enforceable in other jurisdictions.</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Supplements</w:t>
      </w:r>
    </w:p>
    <w:p>
      <w:pPr>
        <w:spacing w:after="0" w:line="229" w:lineRule="exact"/>
        <w:rPr>
          <w:rFonts w:ascii="Arial" w:cs="Arial" w:eastAsia="Arial" w:hAnsi="Arial"/>
          <w:sz w:val="18"/>
          <w:szCs w:val="18"/>
          <w:b w:val="1"/>
          <w:bCs w:val="1"/>
          <w:color w:val="auto"/>
        </w:rPr>
      </w:pPr>
    </w:p>
    <w:p>
      <w:pPr>
        <w:ind w:left="64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Party A and Party B may make modification and supplement to this Agreement in writing. Upon proper execution by the both Parties, the relevant modification and supplemental agreements shall become part of this Agreement with the same legal effect.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Provisions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This Agreement is made in four original copies, with each Party holding two copies.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no contents below)</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 (seal)</w:t>
      </w:r>
    </w:p>
    <w:p>
      <w:pPr>
        <w:spacing w:after="0" w:line="229"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Authorized Representative:</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2040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 2010</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b w:val="1"/>
          <w:bCs w:val="1"/>
          <w:color w:val="auto"/>
        </w:rPr>
        <w:t>Hangzhou Leihuo Network Co., Ltd. (seal)</w:t>
      </w:r>
    </w:p>
    <w:p>
      <w:pPr>
        <w:spacing w:after="0" w:line="229"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Authorized Representative:</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14605</wp:posOffset>
            </wp:positionV>
            <wp:extent cx="20580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Appendix 1</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Cooperation</w:t>
      </w:r>
    </w:p>
    <w:p>
      <w:pPr>
        <w:spacing w:after="0" w:line="211" w:lineRule="exact"/>
        <w:rPr>
          <w:sz w:val="20"/>
          <w:szCs w:val="20"/>
          <w:color w:val="auto"/>
        </w:rPr>
      </w:pPr>
    </w:p>
    <w:p>
      <w:pPr>
        <w:ind w:left="660" w:hanging="328"/>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Cooperation to be Rendered by Party B</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Party B owns the Leihuo website (URL _____________ and ____________________), the Value-added Telecommunication Business Permit (under which Party B is permitted to engage in the Business of internet contents provision), and the Permit for Network Cultural Business Operations (under which Party B is permitted to engage in the business of internet game product operation (including issuing virtual currency for internet games)).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Cooperation to be Rendered by Party A</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According to this Agreement, Party A, in joint efforts with Party B, shall render certain services to clients, including, without limitation:</w:t>
      </w:r>
    </w:p>
    <w:p>
      <w:pPr>
        <w:spacing w:after="0" w:line="225" w:lineRule="exact"/>
        <w:rPr>
          <w:rFonts w:ascii="Arial" w:cs="Arial" w:eastAsia="Arial" w:hAnsi="Arial"/>
          <w:sz w:val="18"/>
          <w:szCs w:val="18"/>
          <w:color w:val="auto"/>
        </w:rPr>
      </w:pPr>
    </w:p>
    <w:p>
      <w:pPr>
        <w:ind w:left="1080" w:right="340" w:hanging="424"/>
        <w:spacing w:after="0" w:line="277" w:lineRule="auto"/>
        <w:tabs>
          <w:tab w:leader="none" w:pos="109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development of computer software (including, without limitation, online games), and technical supports and maintenance for computer software operation;</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provision of broadband internet access and other operation supports.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Services to be Rendered by Party A and Party B Jointly</w:t>
      </w:r>
    </w:p>
    <w:p>
      <w:pPr>
        <w:sectPr>
          <w:pgSz w:w="11900" w:h="16838" w:orient="portrait"/>
          <w:cols w:equalWidth="0" w:num="1">
            <w:col w:w="11420"/>
          </w:cols>
          <w:pgMar w:left="240" w:top="342" w:right="239" w:bottom="153" w:gutter="0" w:footer="0" w:header="0"/>
        </w:sectPr>
      </w:pPr>
    </w:p>
    <w:bookmarkStart w:id="154" w:name="page155"/>
    <w:bookmarkEnd w:id="154"/>
    <w:p>
      <w:pPr>
        <w:ind w:left="280" w:right="160"/>
        <w:spacing w:after="0" w:line="302" w:lineRule="auto"/>
        <w:rPr>
          <w:sz w:val="20"/>
          <w:szCs w:val="20"/>
          <w:color w:val="auto"/>
        </w:rPr>
      </w:pPr>
      <w:r>
        <w:rPr>
          <w:rFonts w:ascii="Arial" w:cs="Arial" w:eastAsia="Arial" w:hAnsi="Arial"/>
          <w:sz w:val="16"/>
          <w:szCs w:val="16"/>
          <w:color w:val="auto"/>
        </w:rPr>
        <w:t>Party A and Party B shall utilize their own tech nologies and advertising resources to render certain services (including, without limitation, value-added telecommunication services) to the users of the Leihuo website and relevant products. The relevant technology services must be provided to the users through such website. Facing the customers jointly, revenues shall be generated on basis on such services. Party A and Party B must cooperate to realize such services and render the same to the clients. Without either party, such service can not be realized.</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Appendix 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Method of Revenue Sharing</w:t>
      </w:r>
    </w:p>
    <w:p>
      <w:pPr>
        <w:spacing w:after="0" w:line="211" w:lineRule="exact"/>
        <w:rPr>
          <w:sz w:val="20"/>
          <w:szCs w:val="20"/>
          <w:color w:val="auto"/>
        </w:rPr>
      </w:pPr>
    </w:p>
    <w:p>
      <w:pPr>
        <w:ind w:left="340" w:hanging="330"/>
        <w:spacing w:after="0"/>
        <w:tabs>
          <w:tab w:leader="none" w:pos="3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Calculation of the Distributable Revenue</w:t>
      </w:r>
    </w:p>
    <w:p>
      <w:pPr>
        <w:spacing w:after="0" w:line="225" w:lineRule="exact"/>
        <w:rPr>
          <w:rFonts w:ascii="Arial" w:cs="Arial" w:eastAsia="Arial" w:hAnsi="Arial"/>
          <w:sz w:val="18"/>
          <w:szCs w:val="18"/>
          <w:color w:val="auto"/>
        </w:rPr>
      </w:pPr>
    </w:p>
    <w:p>
      <w:pPr>
        <w:ind w:left="340" w:right="300"/>
        <w:spacing w:after="0" w:line="257" w:lineRule="auto"/>
        <w:rPr>
          <w:rFonts w:ascii="Arial" w:cs="Arial" w:eastAsia="Arial" w:hAnsi="Arial"/>
          <w:sz w:val="18"/>
          <w:szCs w:val="18"/>
          <w:color w:val="auto"/>
        </w:rPr>
      </w:pPr>
      <w:r>
        <w:rPr>
          <w:rFonts w:ascii="Arial" w:cs="Arial" w:eastAsia="Arial" w:hAnsi="Arial"/>
          <w:sz w:val="18"/>
          <w:szCs w:val="18"/>
          <w:color w:val="auto"/>
        </w:rPr>
        <w:t>Party A and Party B agree that, all the service revenues acquired by Party B from clients every month, after deducting the turnover tax and fee payable (such as business tax, city maintenance and construction tax, educational surcharges etc., “Turnover Tax Payable”), the actual expenses incurred by Party B for operating the Leihuo website (excluding the expenses of the revenue share distributed to Party A and other cooperative parties), and Party B’s retainable profits, shall be deemed as the distributable revenue, which shall be the basis for revenue share among Party B, Party A and any other cooperative parties.</w:t>
      </w:r>
    </w:p>
    <w:p>
      <w:pPr>
        <w:spacing w:after="0" w:line="188" w:lineRule="exact"/>
        <w:rPr>
          <w:rFonts w:ascii="Arial" w:cs="Arial" w:eastAsia="Arial" w:hAnsi="Arial"/>
          <w:sz w:val="18"/>
          <w:szCs w:val="18"/>
          <w:color w:val="auto"/>
        </w:rPr>
      </w:pPr>
    </w:p>
    <w:p>
      <w:pPr>
        <w:ind w:left="340" w:right="180"/>
        <w:spacing w:after="0" w:line="308" w:lineRule="auto"/>
        <w:rPr>
          <w:rFonts w:ascii="Arial" w:cs="Arial" w:eastAsia="Arial" w:hAnsi="Arial"/>
          <w:sz w:val="18"/>
          <w:szCs w:val="18"/>
          <w:color w:val="auto"/>
        </w:rPr>
      </w:pPr>
      <w:r>
        <w:rPr>
          <w:rFonts w:ascii="Arial" w:cs="Arial" w:eastAsia="Arial" w:hAnsi="Arial"/>
          <w:sz w:val="17"/>
          <w:szCs w:val="17"/>
          <w:color w:val="auto"/>
        </w:rPr>
        <w:t>Party A and Party B agree that, if the turnover tax and fee payable by Party B for such aforementioned service is changed due to the adjustment of government policies, the both Parties may determine a new revenue-sharing plan through supplemental agreement in writing.</w:t>
      </w:r>
    </w:p>
    <w:p>
      <w:pPr>
        <w:spacing w:after="0" w:line="14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Formula for the Calculation of the Distributable Revenue:</w:t>
      </w:r>
    </w:p>
    <w:p>
      <w:pPr>
        <w:spacing w:after="0" w:line="225" w:lineRule="exact"/>
        <w:rPr>
          <w:rFonts w:ascii="Arial" w:cs="Arial" w:eastAsia="Arial" w:hAnsi="Arial"/>
          <w:sz w:val="18"/>
          <w:szCs w:val="18"/>
          <w:color w:val="auto"/>
        </w:rPr>
      </w:pPr>
    </w:p>
    <w:p>
      <w:pPr>
        <w:ind w:left="340" w:right="100"/>
        <w:spacing w:after="0" w:line="264" w:lineRule="auto"/>
        <w:rPr>
          <w:rFonts w:ascii="Arial" w:cs="Arial" w:eastAsia="Arial" w:hAnsi="Arial"/>
          <w:sz w:val="18"/>
          <w:szCs w:val="18"/>
          <w:color w:val="auto"/>
        </w:rPr>
      </w:pPr>
      <w:r>
        <w:rPr>
          <w:rFonts w:ascii="Arial" w:cs="Arial" w:eastAsia="Arial" w:hAnsi="Arial"/>
          <w:sz w:val="18"/>
          <w:szCs w:val="18"/>
          <w:color w:val="auto"/>
        </w:rPr>
        <w:t>Distributable Revenue = Service Revenue — Turnover Tax Payable Actual Expenses Incurred by Party B for Operating the Leihuo Website (excluding the expenses of the revenue share distributed to Party A and other cooperative parties and turnover tax payable) — Party B’s Retainable Profits</w:t>
      </w:r>
    </w:p>
    <w:p>
      <w:pPr>
        <w:spacing w:after="0" w:line="181" w:lineRule="exact"/>
        <w:rPr>
          <w:rFonts w:ascii="Arial" w:cs="Arial" w:eastAsia="Arial" w:hAnsi="Arial"/>
          <w:sz w:val="18"/>
          <w:szCs w:val="18"/>
          <w:color w:val="auto"/>
        </w:rPr>
      </w:pPr>
    </w:p>
    <w:p>
      <w:pPr>
        <w:ind w:left="340" w:hanging="330"/>
        <w:spacing w:after="0"/>
        <w:tabs>
          <w:tab w:leader="none" w:pos="3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Party B’s Retainable Profits</w:t>
      </w:r>
    </w:p>
    <w:p>
      <w:pPr>
        <w:spacing w:after="0" w:line="225" w:lineRule="exact"/>
        <w:rPr>
          <w:rFonts w:ascii="Arial" w:cs="Arial" w:eastAsia="Arial" w:hAnsi="Arial"/>
          <w:sz w:val="18"/>
          <w:szCs w:val="18"/>
          <w:color w:val="auto"/>
        </w:rPr>
      </w:pPr>
    </w:p>
    <w:p>
      <w:pPr>
        <w:ind w:left="340" w:right="300"/>
        <w:spacing w:after="0" w:line="277" w:lineRule="auto"/>
        <w:rPr>
          <w:rFonts w:ascii="Arial" w:cs="Arial" w:eastAsia="Arial" w:hAnsi="Arial"/>
          <w:sz w:val="18"/>
          <w:szCs w:val="18"/>
          <w:color w:val="auto"/>
        </w:rPr>
      </w:pPr>
      <w:r>
        <w:rPr>
          <w:rFonts w:ascii="Arial" w:cs="Arial" w:eastAsia="Arial" w:hAnsi="Arial"/>
          <w:sz w:val="18"/>
          <w:szCs w:val="18"/>
          <w:color w:val="auto"/>
        </w:rPr>
        <w:t>Since Party B owns the Leihuo website and provides service to the users of such website and relevant products jointly with Party A, Party A and Party B agree that, Party B’s retainable profits shall be calculated according to the following formula:</w:t>
      </w:r>
    </w:p>
    <w:p>
      <w:pPr>
        <w:spacing w:after="0" w:line="170" w:lineRule="exact"/>
        <w:rPr>
          <w:rFonts w:ascii="Arial" w:cs="Arial" w:eastAsia="Arial" w:hAnsi="Arial"/>
          <w:sz w:val="18"/>
          <w:szCs w:val="18"/>
          <w:color w:val="auto"/>
        </w:rPr>
      </w:pPr>
    </w:p>
    <w:p>
      <w:pPr>
        <w:ind w:left="320" w:right="440"/>
        <w:spacing w:after="0" w:line="277" w:lineRule="auto"/>
        <w:rPr>
          <w:rFonts w:ascii="Arial" w:cs="Arial" w:eastAsia="Arial" w:hAnsi="Arial"/>
          <w:sz w:val="18"/>
          <w:szCs w:val="18"/>
          <w:color w:val="auto"/>
        </w:rPr>
      </w:pPr>
      <w:r>
        <w:rPr>
          <w:rFonts w:ascii="Arial" w:cs="Arial" w:eastAsia="Arial" w:hAnsi="Arial"/>
          <w:sz w:val="18"/>
          <w:szCs w:val="18"/>
          <w:color w:val="auto"/>
        </w:rPr>
        <w:t>Party B’s Retainable Profits = % of the Actual Expenses Incurred by Party B for Operating the Leihuo Website (excluding the expenses of the revenue share distributed to Party A and other cooperative parties and turnover tax payable)</w:t>
      </w:r>
    </w:p>
    <w:p>
      <w:pPr>
        <w:spacing w:after="0" w:line="170" w:lineRule="exact"/>
        <w:rPr>
          <w:rFonts w:ascii="Arial" w:cs="Arial" w:eastAsia="Arial" w:hAnsi="Arial"/>
          <w:sz w:val="18"/>
          <w:szCs w:val="18"/>
          <w:color w:val="auto"/>
        </w:rPr>
      </w:pPr>
    </w:p>
    <w:p>
      <w:pPr>
        <w:ind w:left="340" w:hanging="330"/>
        <w:spacing w:after="0"/>
        <w:tabs>
          <w:tab w:leader="none" w:pos="3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Calculation of Party A’s Share in Revenue</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7"/>
          <w:szCs w:val="17"/>
          <w:color w:val="auto"/>
        </w:rPr>
        <w:t>Party A’s Share in Revenue = Distributable Revenue * Party A’s Expenses / (Party A’s Expenses + Expenses of Other Cooperative Parties)</w:t>
      </w: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hanging="316"/>
        <w:spacing w:after="0"/>
        <w:tabs>
          <w:tab w:leader="none" w:pos="3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Calculation of Other Cooperative Parties’ Share in Revenue</w:t>
      </w:r>
    </w:p>
    <w:p>
      <w:pPr>
        <w:spacing w:after="0" w:line="225" w:lineRule="exact"/>
        <w:rPr>
          <w:rFonts w:ascii="Arial" w:cs="Arial" w:eastAsia="Arial" w:hAnsi="Arial"/>
          <w:sz w:val="18"/>
          <w:szCs w:val="18"/>
          <w:color w:val="auto"/>
        </w:rPr>
      </w:pPr>
    </w:p>
    <w:p>
      <w:pPr>
        <w:ind w:left="340" w:right="160"/>
        <w:spacing w:after="0" w:line="277" w:lineRule="auto"/>
        <w:rPr>
          <w:rFonts w:ascii="Arial" w:cs="Arial" w:eastAsia="Arial" w:hAnsi="Arial"/>
          <w:sz w:val="18"/>
          <w:szCs w:val="18"/>
          <w:color w:val="auto"/>
        </w:rPr>
      </w:pPr>
      <w:r>
        <w:rPr>
          <w:rFonts w:ascii="Arial" w:cs="Arial" w:eastAsia="Arial" w:hAnsi="Arial"/>
          <w:sz w:val="18"/>
          <w:szCs w:val="18"/>
          <w:color w:val="auto"/>
        </w:rPr>
        <w:t>Other Cooperative Parties’ Share in Revenue” = Distributable Revenue * Expenses of Other Cooperative Parties / (Party A’s Expenses + Expenses of Other Cooperative Parties)</w:t>
      </w:r>
    </w:p>
    <w:p>
      <w:pPr>
        <w:spacing w:after="0" w:line="170" w:lineRule="exact"/>
        <w:rPr>
          <w:rFonts w:ascii="Arial" w:cs="Arial" w:eastAsia="Arial" w:hAnsi="Arial"/>
          <w:sz w:val="18"/>
          <w:szCs w:val="18"/>
          <w:color w:val="auto"/>
        </w:rPr>
      </w:pPr>
    </w:p>
    <w:p>
      <w:pPr>
        <w:ind w:left="320" w:hanging="316"/>
        <w:spacing w:after="0"/>
        <w:tabs>
          <w:tab w:leader="none" w:pos="3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Party A and Party B agree that:</w:t>
      </w:r>
    </w:p>
    <w:p>
      <w:pPr>
        <w:spacing w:after="0" w:line="225" w:lineRule="exact"/>
        <w:rPr>
          <w:rFonts w:ascii="Arial" w:cs="Arial" w:eastAsia="Arial" w:hAnsi="Arial"/>
          <w:sz w:val="18"/>
          <w:szCs w:val="18"/>
          <w:color w:val="auto"/>
        </w:rPr>
      </w:pPr>
    </w:p>
    <w:p>
      <w:pPr>
        <w:ind w:left="780" w:right="140" w:hanging="424"/>
        <w:spacing w:after="0" w:line="264" w:lineRule="auto"/>
        <w:tabs>
          <w:tab w:leader="none" w:pos="79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Distribution may only be made according to the formula listed in sub-section 2) to 3) if the remaining amount of the service revenue is, after deducting the turnover tax payable, larger than the sum of the actual expenses incurred by Party B for operating the Leihuo website and ‘s retainable profits.</w:t>
      </w:r>
    </w:p>
    <w:p>
      <w:pPr>
        <w:spacing w:after="0" w:line="181" w:lineRule="exact"/>
        <w:rPr>
          <w:rFonts w:ascii="Arial" w:cs="Arial" w:eastAsia="Arial" w:hAnsi="Arial"/>
          <w:sz w:val="18"/>
          <w:szCs w:val="18"/>
          <w:color w:val="auto"/>
        </w:rPr>
      </w:pPr>
    </w:p>
    <w:p>
      <w:pPr>
        <w:ind w:left="780" w:right="120" w:hanging="424"/>
        <w:spacing w:after="0" w:line="273" w:lineRule="auto"/>
        <w:tabs>
          <w:tab w:leader="none" w:pos="79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If the remaining amount of the service revenue, after deducting the turnover tax payable, is smaller than (or equals to) the amount of the actual expenses incurred by Party B for operating the Leihuo website, Party B shall not retain any profit in the current month, and no distribution shall be made for such service revenue. The difference between the remaining amount of the service revenue after deducting the turnover tax payable and the amount of the actual expenses incurred by Party B for operating the Leihuo website shall be carried over to the following month, and shall be deducted from the distributable revenue amount of the following month. Distribution may only be made pursuant to subsection 2) to 3) when the distributable amount is positive after such deduction.</w:t>
      </w:r>
    </w:p>
    <w:p>
      <w:pPr>
        <w:spacing w:after="0" w:line="178" w:lineRule="exact"/>
        <w:rPr>
          <w:rFonts w:ascii="Arial" w:cs="Arial" w:eastAsia="Arial" w:hAnsi="Arial"/>
          <w:sz w:val="17"/>
          <w:szCs w:val="17"/>
          <w:color w:val="auto"/>
        </w:rPr>
      </w:pPr>
    </w:p>
    <w:p>
      <w:pPr>
        <w:ind w:left="340" w:hanging="330"/>
        <w:spacing w:after="0"/>
        <w:tabs>
          <w:tab w:leader="none" w:pos="3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Payment Method</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For Party A’s share in the revenue of the previous month, Party B shall wire transfer such amount to the following account within 1 month after each settlement.</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Party A’s Bank Account: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Bank:</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Account:</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bank account information of other cooperative companies in the Group shall be notified separately.</w:t>
      </w:r>
    </w:p>
    <w:p>
      <w:pPr>
        <w:sectPr>
          <w:pgSz w:w="11900" w:h="16838" w:orient="portrait"/>
          <w:cols w:equalWidth="0" w:num="1">
            <w:col w:w="11040"/>
          </w:cols>
          <w:pgMar w:left="620" w:top="125" w:right="239" w:bottom="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6" w:name="page157"/>
    <w:bookmarkEnd w:id="156"/>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NOVATION OF OPERATING AGREEMENT</w:t>
      </w:r>
    </w:p>
    <w:p>
      <w:pPr>
        <w:spacing w:after="0" w:line="225" w:lineRule="exact"/>
        <w:rPr>
          <w:sz w:val="20"/>
          <w:szCs w:val="20"/>
          <w:color w:val="auto"/>
        </w:rPr>
      </w:pPr>
    </w:p>
    <w:p>
      <w:pPr>
        <w:ind w:right="240" w:firstLine="648"/>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AMENDMENT AND NOVATION OF OPERATING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Novation Agreement</w:t>
      </w:r>
      <w:r>
        <w:rPr>
          <w:rFonts w:ascii="Arial" w:cs="Arial" w:eastAsia="Arial" w:hAnsi="Arial"/>
          <w:sz w:val="17"/>
          <w:szCs w:val="17"/>
          <w:color w:val="auto"/>
        </w:rPr>
        <w:t>”) is made and effective as of May 1, 2014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NetEase Information Technology (Beijing) Co., Ltd. (“</w:t>
      </w:r>
      <w:r>
        <w:rPr>
          <w:rFonts w:ascii="Arial" w:cs="Arial" w:eastAsia="Arial" w:hAnsi="Arial"/>
          <w:sz w:val="17"/>
          <w:szCs w:val="17"/>
          <w:b w:val="1"/>
          <w:bCs w:val="1"/>
          <w:color w:val="auto"/>
        </w:rPr>
        <w:t>NetEase Beijing</w:t>
      </w:r>
      <w:r>
        <w:rPr>
          <w:rFonts w:ascii="Arial" w:cs="Arial" w:eastAsia="Arial" w:hAnsi="Arial"/>
          <w:sz w:val="17"/>
          <w:szCs w:val="17"/>
          <w:color w:val="auto"/>
        </w:rPr>
        <w:t>” or “</w:t>
      </w:r>
      <w:r>
        <w:rPr>
          <w:rFonts w:ascii="Arial" w:cs="Arial" w:eastAsia="Arial" w:hAnsi="Arial"/>
          <w:sz w:val="17"/>
          <w:szCs w:val="17"/>
          <w:b w:val="1"/>
          <w:bCs w:val="1"/>
          <w:color w:val="auto"/>
        </w:rPr>
        <w:t>Party A</w:t>
      </w:r>
      <w:r>
        <w:rPr>
          <w:rFonts w:ascii="Arial" w:cs="Arial" w:eastAsia="Arial" w:hAnsi="Arial"/>
          <w:sz w:val="17"/>
          <w:szCs w:val="17"/>
          <w:color w:val="auto"/>
        </w:rPr>
        <w:t>”), Beijing Guangyitong Advertising Co., Ltd. (“</w:t>
      </w:r>
      <w:r>
        <w:rPr>
          <w:rFonts w:ascii="Arial" w:cs="Arial" w:eastAsia="Arial" w:hAnsi="Arial"/>
          <w:sz w:val="17"/>
          <w:szCs w:val="17"/>
          <w:b w:val="1"/>
          <w:bCs w:val="1"/>
          <w:color w:val="auto"/>
        </w:rPr>
        <w:t>Guangyitong</w:t>
      </w:r>
      <w:r>
        <w:rPr>
          <w:rFonts w:ascii="Arial" w:cs="Arial" w:eastAsia="Arial" w:hAnsi="Arial"/>
          <w:sz w:val="17"/>
          <w:szCs w:val="17"/>
          <w:color w:val="auto"/>
        </w:rPr>
        <w:t>” or “</w:t>
      </w:r>
      <w:r>
        <w:rPr>
          <w:rFonts w:ascii="Arial" w:cs="Arial" w:eastAsia="Arial" w:hAnsi="Arial"/>
          <w:sz w:val="17"/>
          <w:szCs w:val="17"/>
          <w:b w:val="1"/>
          <w:bCs w:val="1"/>
          <w:color w:val="auto"/>
        </w:rPr>
        <w:t>Party B</w:t>
      </w:r>
      <w:r>
        <w:rPr>
          <w:rFonts w:ascii="Arial" w:cs="Arial" w:eastAsia="Arial" w:hAnsi="Arial"/>
          <w:sz w:val="17"/>
          <w:szCs w:val="17"/>
          <w:color w:val="auto"/>
        </w:rPr>
        <w:t>”), William Lei Ding (“</w:t>
      </w:r>
      <w:r>
        <w:rPr>
          <w:rFonts w:ascii="Arial" w:cs="Arial" w:eastAsia="Arial" w:hAnsi="Arial"/>
          <w:sz w:val="17"/>
          <w:szCs w:val="17"/>
          <w:b w:val="1"/>
          <w:bCs w:val="1"/>
          <w:color w:val="auto"/>
        </w:rPr>
        <w:t>William</w:t>
      </w:r>
      <w:r>
        <w:rPr>
          <w:rFonts w:ascii="Arial" w:cs="Arial" w:eastAsia="Arial" w:hAnsi="Arial"/>
          <w:sz w:val="17"/>
          <w:szCs w:val="17"/>
          <w:color w:val="auto"/>
        </w:rPr>
        <w:t>” or “</w:t>
      </w:r>
      <w:r>
        <w:rPr>
          <w:rFonts w:ascii="Arial" w:cs="Arial" w:eastAsia="Arial" w:hAnsi="Arial"/>
          <w:sz w:val="17"/>
          <w:szCs w:val="17"/>
          <w:b w:val="1"/>
          <w:bCs w:val="1"/>
          <w:color w:val="auto"/>
        </w:rPr>
        <w:t>Party D</w:t>
      </w:r>
      <w:r>
        <w:rPr>
          <w:rFonts w:ascii="Arial" w:cs="Arial" w:eastAsia="Arial" w:hAnsi="Arial"/>
          <w:sz w:val="17"/>
          <w:szCs w:val="17"/>
          <w:color w:val="auto"/>
        </w:rPr>
        <w:t>”) and Bo Ding (“</w:t>
      </w:r>
      <w:r>
        <w:rPr>
          <w:rFonts w:ascii="Arial" w:cs="Arial" w:eastAsia="Arial" w:hAnsi="Arial"/>
          <w:sz w:val="17"/>
          <w:szCs w:val="17"/>
          <w:b w:val="1"/>
          <w:bCs w:val="1"/>
          <w:color w:val="auto"/>
        </w:rPr>
        <w:t>Bo</w:t>
      </w:r>
      <w:r>
        <w:rPr>
          <w:rFonts w:ascii="Arial" w:cs="Arial" w:eastAsia="Arial" w:hAnsi="Arial"/>
          <w:sz w:val="17"/>
          <w:szCs w:val="17"/>
          <w:color w:val="auto"/>
        </w:rPr>
        <w:t>”). Unless otherwise defined, capitalized terms used herein shall have the meaning assigned to them in the Operating Agreement (as defined below).</w:t>
      </w:r>
    </w:p>
    <w:p>
      <w:pPr>
        <w:spacing w:after="0" w:line="165"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WHEREAS, NetEase Beijing, Guangyitong, William and Bo are parties to the Operating Agreement, dated May 10, 2000 (the “</w:t>
      </w:r>
      <w:r>
        <w:rPr>
          <w:rFonts w:ascii="Arial" w:cs="Arial" w:eastAsia="Arial" w:hAnsi="Arial"/>
          <w:sz w:val="18"/>
          <w:szCs w:val="18"/>
          <w:b w:val="1"/>
          <w:bCs w:val="1"/>
          <w:color w:val="auto"/>
        </w:rPr>
        <w:t>Operating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under which, among other things, Guangyitong, Bo (as Guangyitong’s direct shareholder holding 20% of the equity interests) and William (as</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majority shareholder of Guangzhou NetEase Computer System Co., Ltd. (“</w:t>
      </w:r>
      <w:r>
        <w:rPr>
          <w:rFonts w:ascii="Arial" w:cs="Arial" w:eastAsia="Arial" w:hAnsi="Arial"/>
          <w:sz w:val="18"/>
          <w:szCs w:val="18"/>
          <w:b w:val="1"/>
          <w:bCs w:val="1"/>
          <w:color w:val="auto"/>
        </w:rPr>
        <w:t>Guangzhou NetEase</w:t>
      </w:r>
      <w:r>
        <w:rPr>
          <w:rFonts w:ascii="Arial" w:cs="Arial" w:eastAsia="Arial" w:hAnsi="Arial"/>
          <w:sz w:val="18"/>
          <w:szCs w:val="18"/>
          <w:color w:val="auto"/>
        </w:rPr>
        <w:t>”) which holds 80% of the equity interests in Guangyitong) jointly agree that Guangyitong shall not enter into any transaction or fail to take any action which would substantially affect the assets, liabilities, equity or operations of Guangyitong without the prior written consent of NetEase Beijing;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prior to or on the date of this Novation Agreement, Bo has transferred to William 20% of the equity interests in Guangyitong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Guangyitong Equity Transfer</w:t>
      </w:r>
      <w:r>
        <w:rPr>
          <w:rFonts w:ascii="Arial" w:cs="Arial" w:eastAsia="Arial" w:hAnsi="Arial"/>
          <w:sz w:val="16"/>
          <w:szCs w:val="16"/>
          <w:color w:val="auto"/>
        </w:rPr>
        <w:t>”), upon the completion of which, Bo has ceased to be a shareholder of Guangyitong and William directly holds 20%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interests in Guangyitong;</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prior to or on the date of this Novation Agreement, Bo has also transferred to William and Xiaojun Hui 9% and 1% of the equity interests in Guangzhou NetEase, respectively (such equity transfers together with the Guangyitong Equity Transfer, the “</w:t>
      </w:r>
      <w:r>
        <w:rPr>
          <w:rFonts w:ascii="Arial" w:cs="Arial" w:eastAsia="Arial" w:hAnsi="Arial"/>
          <w:sz w:val="18"/>
          <w:szCs w:val="18"/>
          <w:b w:val="1"/>
          <w:bCs w:val="1"/>
          <w:color w:val="auto"/>
        </w:rPr>
        <w:t>Equity Transfers</w:t>
      </w:r>
      <w:r>
        <w:rPr>
          <w:rFonts w:ascii="Arial" w:cs="Arial" w:eastAsia="Arial" w:hAnsi="Arial"/>
          <w:sz w:val="18"/>
          <w:szCs w:val="18"/>
          <w:color w:val="auto"/>
        </w:rPr>
        <w:t>”), upon the completion of which (a) Bo has ceased to be a shareholder of Guangzhou NetEase and an indirect shareholder of Guangyitong, and (b) William holds 99% of the equity interests in Guangzhou NetEase;</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in connection with the Equity Transfers, the parties have agreed that Bo will be removed as a party to the Operating Agreement and desire to recognize William as a successor to Bo’s rights, obligations and liabilities under the Operating Agreement;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parties wish to memorialize the novation of Bo’s rights and obligations under the Operating Agreement to William and to amend the Operating Agreement as set forth herein.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of which is hereby acknowledged, the parties hereby agree as follows:</w:t>
      </w:r>
    </w:p>
    <w:p>
      <w:pPr>
        <w:spacing w:after="0" w:line="170" w:lineRule="exact"/>
        <w:rPr>
          <w:sz w:val="20"/>
          <w:szCs w:val="20"/>
          <w:color w:val="auto"/>
        </w:rPr>
      </w:pPr>
    </w:p>
    <w:p>
      <w:pPr>
        <w:ind w:right="20" w:firstLine="656"/>
        <w:spacing w:after="0" w:line="276" w:lineRule="auto"/>
        <w:tabs>
          <w:tab w:leader="none" w:pos="1296"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Novation and Transfer; Consent</w:t>
      </w:r>
      <w:r>
        <w:rPr>
          <w:rFonts w:ascii="Arial" w:cs="Arial" w:eastAsia="Arial" w:hAnsi="Arial"/>
          <w:sz w:val="17"/>
          <w:szCs w:val="17"/>
          <w:color w:val="auto"/>
        </w:rPr>
        <w:t>. Each of NetEase Beijing and Guangyitong hereby consents and agrees to the assignment and transfer of the Operating Agreement, including the transfer of all of Bo’s rights, obligations and liabilities thereunder as “Party C”, by Bo to William with respect to Bo’s rights, obligations and liabilities thereunder in his capacity as the holder of 20% of the equity interests in Party B, and each of NetEase Beijing and Guangyitong hereby agrees that the substitute performance by William as a successor to Bo as “Party C” under the Operating Agreement constitutes a complete novation of all rights formerly owed to Bo and all obligations formerly owed by Bo under the Operating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ind w:right="280" w:firstLine="656"/>
        <w:spacing w:after="0" w:line="308" w:lineRule="auto"/>
        <w:tabs>
          <w:tab w:leader="none" w:pos="1296"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Assumption</w:t>
      </w:r>
      <w:r>
        <w:rPr>
          <w:rFonts w:ascii="Arial" w:cs="Arial" w:eastAsia="Arial" w:hAnsi="Arial"/>
          <w:sz w:val="17"/>
          <w:szCs w:val="17"/>
          <w:color w:val="auto"/>
        </w:rPr>
        <w:t>. William agrees that he shall be bound by and perform the Operating Agreement and assumes all obligations, liabilities and duties of Bo as “Party C” under the Operating Agreement as a direct shareholder of 20% of the equity interests in Guangyitong.</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Acceptance of Substitute Performance</w:t>
      </w:r>
      <w:r>
        <w:rPr>
          <w:rFonts w:ascii="Arial" w:cs="Arial" w:eastAsia="Arial" w:hAnsi="Arial"/>
          <w:sz w:val="18"/>
          <w:szCs w:val="18"/>
          <w:color w:val="auto"/>
        </w:rPr>
        <w:t>. Each of NetEase Beijing and Guangyitong hereby agrees that, effective as of the Effective Date, it shall look solely to William as the successor of Bo as “Party C” in interest in and to the Operating Agreement, for the performance of the obligations under the Operating Agreement, without recourse to Bo should William fail to perform as “Party C”.</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Removal of Bo as a Party</w:t>
      </w:r>
      <w:r>
        <w:rPr>
          <w:rFonts w:ascii="Arial" w:cs="Arial" w:eastAsia="Arial" w:hAnsi="Arial"/>
          <w:sz w:val="18"/>
          <w:szCs w:val="18"/>
          <w:color w:val="auto"/>
        </w:rPr>
        <w:t>. The parties hereby agree that Bo shall be removed as a party to the Operating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Amendment to Operating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342" w:lineRule="auto"/>
        <w:tabs>
          <w:tab w:leader="none" w:pos="161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William agrees that he shall continue to be bound by and perform the Operating Agreement as “Party D” in respect of his indirect ownership of equity interests in Guangyitong, and Section 4 of the Recitals of the Operating Agreement shall be amended to read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-2220595</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4" w:lineRule="exact"/>
        <w:rPr>
          <w:sz w:val="20"/>
          <w:szCs w:val="20"/>
          <w:color w:val="auto"/>
        </w:rPr>
      </w:pPr>
    </w:p>
    <w:p>
      <w:pPr>
        <w:ind w:left="660" w:right="200" w:firstLine="648"/>
        <w:spacing w:after="0" w:line="264" w:lineRule="auto"/>
        <w:rPr>
          <w:sz w:val="20"/>
          <w:szCs w:val="20"/>
          <w:color w:val="auto"/>
        </w:rPr>
      </w:pPr>
      <w:r>
        <w:rPr>
          <w:rFonts w:ascii="Arial" w:cs="Arial" w:eastAsia="Arial" w:hAnsi="Arial"/>
          <w:sz w:val="18"/>
          <w:szCs w:val="18"/>
          <w:color w:val="auto"/>
        </w:rPr>
        <w:t>“4. References in this Agreement to Party D are to Party D in his capacity as the indirect owner of 79.2% of the equity interests in Party B through Party D’s direct ownership of 99% of the equity interests in Guangzhou NetEase Computer System Co., Ltd., which directly owns 80% of the equity interests in Party B.”</w:t>
      </w:r>
    </w:p>
    <w:p>
      <w:pPr>
        <w:spacing w:after="0" w:line="181" w:lineRule="exact"/>
        <w:rPr>
          <w:sz w:val="20"/>
          <w:szCs w:val="20"/>
          <w:color w:val="auto"/>
        </w:rPr>
      </w:pPr>
    </w:p>
    <w:p>
      <w:pPr>
        <w:ind w:right="120" w:firstLine="1305"/>
        <w:spacing w:after="0" w:line="277" w:lineRule="auto"/>
        <w:tabs>
          <w:tab w:leader="none" w:pos="162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of NetEase Beijing, Guangyitong and William hereby agrees thatSection 2 of the Operating Agreement shall be amended to read in its entirety as follows:</w:t>
      </w:r>
    </w:p>
    <w:p>
      <w:pPr>
        <w:spacing w:after="0" w:line="170" w:lineRule="exact"/>
        <w:rPr>
          <w:sz w:val="20"/>
          <w:szCs w:val="20"/>
          <w:color w:val="auto"/>
        </w:rPr>
      </w:pPr>
    </w:p>
    <w:p>
      <w:pPr>
        <w:ind w:left="660" w:right="20" w:firstLine="648"/>
        <w:spacing w:after="0" w:line="268" w:lineRule="auto"/>
        <w:rPr>
          <w:sz w:val="20"/>
          <w:szCs w:val="20"/>
          <w:color w:val="auto"/>
        </w:rPr>
      </w:pPr>
      <w:r>
        <w:rPr>
          <w:rFonts w:ascii="Arial" w:cs="Arial" w:eastAsia="Arial" w:hAnsi="Arial"/>
          <w:sz w:val="17"/>
          <w:szCs w:val="17"/>
          <w:color w:val="auto"/>
        </w:rPr>
        <w:t>“2. Party A, Party B, Party C and Party D hereby jointly agree and undertake that, at any time when PRC law permits foreign investors to invest in and operate all or any part of the business operated by Guangyitong, Party A and its affiliates shall have an option (but not an obligation) to acquire from Guangyitong all or any part of the ownership and operational rights of any business of Guangyitong or any of the equity interests in Guangyitong, or to establish a joint venture with Guangyitong, in which Party A or its affiliates shall be entitled to hold 50% (or such higher percentage as permitted under PRC law) of the total equity interests. When Party A and its affiliates decide to acquire Guangyitong’s assets or operational rights relating to the business of Guangyitong or any equity interests in Guangyitong or to establish a joint venture with Guangyitong, the consideration thereof shall be the lowest price permitted by then effective PRC law and, if required by the relevant government authorities, shall be based on the result of valuation by a qualified valuation firm (provided that such firm and the valuation method to be adopted shall be chosen solely by Party A to the extent not violating PRC law). Party A, Party B, Party C and Party D each hereby undertakes to take all necessary measures to facilitate and complete the acquisition or the establishment of a joint venture when Party A and its affiliates decide to acquire Guangyitong’s assets or operational rights or any equity interests in Guangyitong or to establish a joint venture with Guangyitong. “</w:t>
      </w:r>
      <w:r>
        <w:rPr>
          <w:rFonts w:ascii="Arial" w:cs="Arial" w:eastAsia="Arial" w:hAnsi="Arial"/>
          <w:sz w:val="17"/>
          <w:szCs w:val="17"/>
          <w:b w:val="1"/>
          <w:bCs w:val="1"/>
          <w:color w:val="auto"/>
        </w:rPr>
        <w:t>PRC law</w:t>
      </w:r>
      <w:r>
        <w:rPr>
          <w:rFonts w:ascii="Arial" w:cs="Arial" w:eastAsia="Arial" w:hAnsi="Arial"/>
          <w:sz w:val="17"/>
          <w:szCs w:val="17"/>
          <w:color w:val="auto"/>
        </w:rPr>
        <w:t>” shall mean the then valid laws, administrative regulations, administrative rules, local regulations, judicial interpretations and other binding regulatory documents of the People’s Republic of China.”</w:t>
      </w:r>
    </w:p>
    <w:p>
      <w:pPr>
        <w:sectPr>
          <w:pgSz w:w="11900" w:h="16844" w:orient="portrait"/>
          <w:cols w:equalWidth="0" w:num="1">
            <w:col w:w="11420"/>
          </w:cols>
          <w:pgMar w:left="240" w:top="121" w:right="239" w:bottom="0" w:gutter="0" w:footer="0" w:header="0"/>
        </w:sectPr>
      </w:pPr>
    </w:p>
    <w:bookmarkStart w:id="157" w:name="page158"/>
    <w:bookmarkEnd w:id="157"/>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Novation Agreement shall be governed by and construed in accordance with the PRC law.</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628"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All terms and conditions of the Operating Agreement other than those that have been novated and amended by this Novation Agreement shall remain unchanged, and this Novation Agreement, together with the Operating Agreement, constitutes the entire agreement among the Parties relating to the subject matters hereof.</w:t>
      </w:r>
    </w:p>
    <w:p>
      <w:pPr>
        <w:spacing w:after="0" w:line="181" w:lineRule="exact"/>
        <w:rPr>
          <w:rFonts w:ascii="Arial" w:cs="Arial" w:eastAsia="Arial" w:hAnsi="Arial"/>
          <w:sz w:val="18"/>
          <w:szCs w:val="18"/>
          <w:color w:val="auto"/>
        </w:rPr>
      </w:pPr>
    </w:p>
    <w:p>
      <w:pPr>
        <w:ind w:right="20" w:firstLine="1305"/>
        <w:spacing w:after="0" w:line="277" w:lineRule="auto"/>
        <w:tabs>
          <w:tab w:leader="none" w:pos="163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Novation Agreement may be executed in counterparts, each of which shall be deemed an original, but all of which together shall constitute on and the same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Novation Agreement has been executed by the parties effective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NetEase Information Technology (Beijing) Co., Ltd. (seal)</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Lei Ding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Beijing Guangyitong Advertising Co., Ltd. (seal)</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Lei Ding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William Lei Ding</w:t>
      </w:r>
    </w:p>
    <w:p>
      <w:pPr>
        <w:spacing w:after="0" w:line="200" w:lineRule="exact"/>
        <w:rPr>
          <w:sz w:val="20"/>
          <w:szCs w:val="20"/>
          <w:color w:val="auto"/>
        </w:rPr>
      </w:pPr>
    </w:p>
    <w:p>
      <w:pPr>
        <w:spacing w:after="0" w:line="24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 Ding</w:t>
      </w:r>
    </w:p>
    <w:p>
      <w:pPr>
        <w:spacing w:after="0" w:line="200" w:lineRule="exact"/>
        <w:rPr>
          <w:sz w:val="20"/>
          <w:szCs w:val="20"/>
          <w:color w:val="auto"/>
        </w:rPr>
      </w:pPr>
    </w:p>
    <w:p>
      <w:pPr>
        <w:spacing w:after="0" w:line="24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Bo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Guangzhou NetEase Computer System Co., Ltd. (seal)</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Lei 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4.34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NOVATION OF LETTER OF AGREEMENT</w:t>
      </w:r>
    </w:p>
    <w:p>
      <w:pPr>
        <w:spacing w:after="0" w:line="225"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AND NOVATION OF LETTER OF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Novation Agreement</w:t>
      </w:r>
      <w:r>
        <w:rPr>
          <w:rFonts w:ascii="Arial" w:cs="Arial" w:eastAsia="Arial" w:hAnsi="Arial"/>
          <w:sz w:val="18"/>
          <w:szCs w:val="18"/>
          <w:color w:val="auto"/>
        </w:rPr>
        <w:t>”) is made and effective as of May 1, 2014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NetEase, Inc. (formerly known as NetEase.com, Inc., “</w:t>
      </w:r>
      <w:r>
        <w:rPr>
          <w:rFonts w:ascii="Arial" w:cs="Arial" w:eastAsia="Arial" w:hAnsi="Arial"/>
          <w:sz w:val="18"/>
          <w:szCs w:val="18"/>
          <w:b w:val="1"/>
          <w:bCs w:val="1"/>
          <w:color w:val="auto"/>
        </w:rPr>
        <w:t>NetEase</w:t>
      </w:r>
      <w:r>
        <w:rPr>
          <w:rFonts w:ascii="Arial" w:cs="Arial" w:eastAsia="Arial" w:hAnsi="Arial"/>
          <w:sz w:val="18"/>
          <w:szCs w:val="18"/>
          <w:color w:val="auto"/>
        </w:rPr>
        <w:t>”), William Lei Ding (“</w:t>
      </w:r>
      <w:r>
        <w:rPr>
          <w:rFonts w:ascii="Arial" w:cs="Arial" w:eastAsia="Arial" w:hAnsi="Arial"/>
          <w:sz w:val="18"/>
          <w:szCs w:val="18"/>
          <w:b w:val="1"/>
          <w:bCs w:val="1"/>
          <w:color w:val="auto"/>
        </w:rPr>
        <w:t>William</w:t>
      </w:r>
      <w:r>
        <w:rPr>
          <w:rFonts w:ascii="Arial" w:cs="Arial" w:eastAsia="Arial" w:hAnsi="Arial"/>
          <w:sz w:val="18"/>
          <w:szCs w:val="18"/>
          <w:color w:val="auto"/>
        </w:rPr>
        <w:t>”), Bo Ding (“</w:t>
      </w:r>
      <w:r>
        <w:rPr>
          <w:rFonts w:ascii="Arial" w:cs="Arial" w:eastAsia="Arial" w:hAnsi="Arial"/>
          <w:sz w:val="18"/>
          <w:szCs w:val="18"/>
          <w:b w:val="1"/>
          <w:bCs w:val="1"/>
          <w:color w:val="auto"/>
        </w:rPr>
        <w:t>Bo</w:t>
      </w:r>
      <w:r>
        <w:rPr>
          <w:rFonts w:ascii="Arial" w:cs="Arial" w:eastAsia="Arial" w:hAnsi="Arial"/>
          <w:sz w:val="18"/>
          <w:szCs w:val="18"/>
          <w:color w:val="auto"/>
        </w:rPr>
        <w:t>”) and Xiaojun Hui (“</w:t>
      </w:r>
      <w:r>
        <w:rPr>
          <w:rFonts w:ascii="Arial" w:cs="Arial" w:eastAsia="Arial" w:hAnsi="Arial"/>
          <w:sz w:val="18"/>
          <w:szCs w:val="18"/>
          <w:b w:val="1"/>
          <w:bCs w:val="1"/>
          <w:color w:val="auto"/>
        </w:rPr>
        <w:t>Xiaojun</w:t>
      </w:r>
      <w:r>
        <w:rPr>
          <w:rFonts w:ascii="Arial" w:cs="Arial" w:eastAsia="Arial" w:hAnsi="Arial"/>
          <w:sz w:val="18"/>
          <w:szCs w:val="18"/>
          <w:color w:val="auto"/>
        </w:rPr>
        <w:t>”). Unless otherwise defined, capitalized terms used herein shall have the meaning assigned to them in the Letter of Agreement (as defined below).</w:t>
      </w:r>
    </w:p>
    <w:p>
      <w:pPr>
        <w:spacing w:after="0" w:line="18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WHEREAS, NetEase, William and Bo are parties to the Letter of Agreement, dated June 6, 2000, as supplemented on May 17, 2004, July 15, 2004 and July 20, 2004 (the “</w:t>
      </w:r>
      <w:r>
        <w:rPr>
          <w:rFonts w:ascii="Arial" w:cs="Arial" w:eastAsia="Arial" w:hAnsi="Arial"/>
          <w:sz w:val="17"/>
          <w:szCs w:val="17"/>
          <w:b w:val="1"/>
          <w:bCs w:val="1"/>
          <w:color w:val="auto"/>
        </w:rPr>
        <w:t>Letter of Agreement</w:t>
      </w:r>
      <w:r>
        <w:rPr>
          <w:rFonts w:ascii="Arial" w:cs="Arial" w:eastAsia="Arial" w:hAnsi="Arial"/>
          <w:sz w:val="17"/>
          <w:szCs w:val="17"/>
          <w:color w:val="auto"/>
        </w:rPr>
        <w:t>”), under which, among other things, William and Bo, collectively being shareholders of NetEase and the ultimate shareholders of both Guangzhou NetEase Computer System Co., Ltd. (“</w:t>
      </w:r>
      <w:r>
        <w:rPr>
          <w:rFonts w:ascii="Arial" w:cs="Arial" w:eastAsia="Arial" w:hAnsi="Arial"/>
          <w:sz w:val="17"/>
          <w:szCs w:val="17"/>
          <w:b w:val="1"/>
          <w:bCs w:val="1"/>
          <w:color w:val="auto"/>
        </w:rPr>
        <w:t>Guangzhou NetEase</w:t>
      </w:r>
      <w:r>
        <w:rPr>
          <w:rFonts w:ascii="Arial" w:cs="Arial" w:eastAsia="Arial" w:hAnsi="Arial"/>
          <w:sz w:val="17"/>
          <w:szCs w:val="17"/>
          <w:color w:val="auto"/>
        </w:rPr>
        <w:t>”) and Beijing Guangyitong Advertising Co., Ltd. (“</w:t>
      </w:r>
      <w:r>
        <w:rPr>
          <w:rFonts w:ascii="Arial" w:cs="Arial" w:eastAsia="Arial" w:hAnsi="Arial"/>
          <w:sz w:val="17"/>
          <w:szCs w:val="17"/>
          <w:b w:val="1"/>
          <w:bCs w:val="1"/>
          <w:color w:val="auto"/>
        </w:rPr>
        <w:t>Guangyitong</w:t>
      </w:r>
      <w:r>
        <w:rPr>
          <w:rFonts w:ascii="Arial" w:cs="Arial" w:eastAsia="Arial" w:hAnsi="Arial"/>
          <w:sz w:val="17"/>
          <w:szCs w:val="17"/>
          <w:color w:val="auto"/>
        </w:rPr>
        <w:t>”, of which Guangzhou NetEase is the direct majority shareholder), agree that any amendments to certain agreements are subject to the approval by the vote of a majority of the Board of Directors of NetEase (the “</w:t>
      </w:r>
      <w:r>
        <w:rPr>
          <w:rFonts w:ascii="Arial" w:cs="Arial" w:eastAsia="Arial" w:hAnsi="Arial"/>
          <w:sz w:val="17"/>
          <w:szCs w:val="17"/>
          <w:b w:val="1"/>
          <w:bCs w:val="1"/>
          <w:color w:val="auto"/>
        </w:rPr>
        <w:t>Board</w:t>
      </w:r>
      <w:r>
        <w:rPr>
          <w:rFonts w:ascii="Arial" w:cs="Arial" w:eastAsia="Arial" w:hAnsi="Arial"/>
          <w:sz w:val="17"/>
          <w:szCs w:val="17"/>
          <w:color w:val="auto"/>
        </w:rPr>
        <w:t>”) excluding William;</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WHEREAS, prior to or on the date of this Novation Agreement, Bo has transferred 9% of the equity interests in Guangzhou NetEase to William, 1% of the equity interests in Guangzhou NetEase to Xiaojun and 20% of the equity interests in Guangyitong to William (collectively, the “</w:t>
      </w:r>
      <w:r>
        <w:rPr>
          <w:rFonts w:ascii="Arial" w:cs="Arial" w:eastAsia="Arial" w:hAnsi="Arial"/>
          <w:sz w:val="18"/>
          <w:szCs w:val="18"/>
          <w:b w:val="1"/>
          <w:bCs w:val="1"/>
          <w:color w:val="auto"/>
        </w:rPr>
        <w:t>Equity Transfers</w:t>
      </w:r>
      <w:r>
        <w:rPr>
          <w:rFonts w:ascii="Arial" w:cs="Arial" w:eastAsia="Arial" w:hAnsi="Arial"/>
          <w:sz w:val="18"/>
          <w:szCs w:val="18"/>
          <w:color w:val="auto"/>
        </w:rPr>
        <w:t>”), upon the completion of which, (a) Bo has ceased to be a shareholder of Guangzhou NetEase and Guangyitong, (b) William holds 20% of the equity interests in Guangyitong and 99% of the equity interests in Guangzhou NetEase, which continues to own 80% of the equity interests in Guangyitong and (c) Xiaojun holds 1% of the equity interests in Guangzhou NetEase;</w:t>
      </w:r>
    </w:p>
    <w:p>
      <w:pPr>
        <w:spacing w:after="0" w:line="18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WHEREAS, in connection with the Equity Transfers, the parties have agreed that Bo will be removed as a party to the Letter of Agreement, and desire to recognize William and Xiaojun as successors to Bo’s rights, obligations and liabilities under the Letter of Agreement and Xiaojun as a successor party to the Letter of Agreement; and</w:t>
      </w:r>
    </w:p>
    <w:p>
      <w:pPr>
        <w:spacing w:after="0" w:line="18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WHEREAS, the parties wish to memorialize the novation of Bo’s rights, obligations and liabilities under the Letter of Agreement to William (in the capacity of a shareholder of Guangzhou NetEase and a shareholder of Guangyitong) and Xiaojun (in the capacity of a shareholder of Guangzhou NetEase and an indirect shareholder of Guangyitong), respectively, and to amend the Letter of Agreement as set forth herein.</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of which is hereby acknowledged, the parties hereby agree as follows:</w:t>
      </w:r>
    </w:p>
    <w:p>
      <w:pPr>
        <w:spacing w:after="0" w:line="170" w:lineRule="exact"/>
        <w:rPr>
          <w:sz w:val="20"/>
          <w:szCs w:val="20"/>
          <w:color w:val="auto"/>
        </w:rPr>
      </w:pPr>
    </w:p>
    <w:p>
      <w:pPr>
        <w:ind w:right="120" w:firstLine="656"/>
        <w:spacing w:after="0" w:line="273" w:lineRule="auto"/>
        <w:tabs>
          <w:tab w:leader="none" w:pos="1296"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Novation and Transfer; Consent</w:t>
      </w:r>
      <w:r>
        <w:rPr>
          <w:rFonts w:ascii="Arial" w:cs="Arial" w:eastAsia="Arial" w:hAnsi="Arial"/>
          <w:sz w:val="17"/>
          <w:szCs w:val="17"/>
          <w:color w:val="auto"/>
        </w:rPr>
        <w:t>. NetEase hereby consents and agrees to the assignment and transfer of the Letter of Agreement, including the transfer of all of Bo’s rights, obligations and liabilities thereunder, by Bo to: (a) William with respect to Bo’s rights, obligations and liabilities thereunder in his capacity as a shareholder of Guangzhou NetEase and a shareholder of Guangyitong and (b) Xiaojun with respect to Bo’s rights, obligations and liabilities thereunder in his capacity as a shareholder of Guangzhou NetEase and an indirect shareholder of Guangyitong, and NetEase hereby agrees that the substitute performance by William and Xiaojun in their respective aforesaid capacities under the Letter of Agreement constitutes a complete novation of all rights formerly owed to Bo and all obligations formerly owed by Bo under the Letter of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264" w:lineRule="auto"/>
        <w:tabs>
          <w:tab w:leader="none" w:pos="161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William hereby agrees to assume all obligations, liabilities and duties of Bo under the Letter of Agreement with respect to 9% of the equity interests in Guangzhou NetEase and as a direct shareholder of the Advertising Company with respect to the 20% of the equity interests in the Advertising Company and continue to be bound by and to perform the Letter of Agreement.</w:t>
      </w:r>
    </w:p>
    <w:p>
      <w:pPr>
        <w:spacing w:after="0" w:line="181" w:lineRule="exact"/>
        <w:rPr>
          <w:rFonts w:ascii="Arial" w:cs="Arial" w:eastAsia="Arial" w:hAnsi="Arial"/>
          <w:sz w:val="18"/>
          <w:szCs w:val="18"/>
          <w:color w:val="auto"/>
        </w:rPr>
      </w:pPr>
    </w:p>
    <w:p>
      <w:pPr>
        <w:jc w:val="both"/>
        <w:ind w:right="180" w:firstLine="1305"/>
        <w:spacing w:after="0" w:line="312" w:lineRule="auto"/>
        <w:tabs>
          <w:tab w:leader="none" w:pos="162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Xiaojun hereby agrees to be bound by and to perform the Letter of Agreement in accordance with the terms and conditions contained therein and assumes all obligations, liabilities and duties of Bo thereunder as a shareholder holding 1% of the equity interests in Guangzhou NetEase and an indirect shareholder of Guangyitong as if Xiaojun was an original party to the Letter of Agreement as of the Effective Date.</w:t>
      </w:r>
    </w:p>
    <w:p>
      <w:pPr>
        <w:spacing w:after="0" w:line="146" w:lineRule="exact"/>
        <w:rPr>
          <w:rFonts w:ascii="Arial" w:cs="Arial" w:eastAsia="Arial" w:hAnsi="Arial"/>
          <w:sz w:val="16"/>
          <w:szCs w:val="16"/>
          <w:color w:val="auto"/>
        </w:rPr>
      </w:pPr>
    </w:p>
    <w:p>
      <w:pPr>
        <w:jc w:val="both"/>
        <w:ind w:right="280" w:firstLine="656"/>
        <w:spacing w:after="0" w:line="264" w:lineRule="auto"/>
        <w:tabs>
          <w:tab w:leader="none" w:pos="129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Acceptance of Substitute Performance</w:t>
      </w:r>
      <w:r>
        <w:rPr>
          <w:rFonts w:ascii="Arial" w:cs="Arial" w:eastAsia="Arial" w:hAnsi="Arial"/>
          <w:sz w:val="18"/>
          <w:szCs w:val="18"/>
          <w:color w:val="auto"/>
        </w:rPr>
        <w:t>. NetEase hereby agrees that, effective as of the Effective Date, it shall look solely to William and Xiaojun, as Bo’s respective successors in interest in and to the Letter of Agreement, for the performance of the obligations under the Letter of Agreement, without recourse to Bo should William and/or Xiaojun fail to perform in their respective capacities.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Removal of Bo as a Party</w:t>
      </w:r>
      <w:r>
        <w:rPr>
          <w:rFonts w:ascii="Arial" w:cs="Arial" w:eastAsia="Arial" w:hAnsi="Arial"/>
          <w:sz w:val="18"/>
          <w:szCs w:val="18"/>
          <w:color w:val="auto"/>
        </w:rPr>
        <w:t>. The parties hereby agree that Bo shall be removed as a party to the Letter of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Amendment to Letter of Agreement</w:t>
      </w:r>
      <w:r>
        <w:rPr>
          <w:rFonts w:ascii="Arial" w:cs="Arial" w:eastAsia="Arial" w:hAnsi="Arial"/>
          <w:sz w:val="18"/>
          <w:szCs w:val="18"/>
          <w:color w:val="auto"/>
        </w:rPr>
        <w:t>. Section 1 of the Letter of Agreement shall be replaced in its entirety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ind w:left="660" w:right="200" w:firstLine="1297"/>
        <w:spacing w:after="0" w:line="282" w:lineRule="auto"/>
        <w:rPr>
          <w:sz w:val="20"/>
          <w:szCs w:val="20"/>
          <w:color w:val="auto"/>
        </w:rPr>
      </w:pPr>
      <w:r>
        <w:rPr>
          <w:rFonts w:ascii="Arial" w:cs="Arial" w:eastAsia="Arial" w:hAnsi="Arial"/>
          <w:sz w:val="18"/>
          <w:szCs w:val="18"/>
          <w:color w:val="auto"/>
        </w:rPr>
        <w:t>“1. All changes to be made to any of the following documents (collectively the “</w:t>
      </w:r>
      <w:r>
        <w:rPr>
          <w:rFonts w:ascii="Arial" w:cs="Arial" w:eastAsia="Arial" w:hAnsi="Arial"/>
          <w:sz w:val="18"/>
          <w:szCs w:val="18"/>
          <w:b w:val="1"/>
          <w:bCs w:val="1"/>
          <w:color w:val="auto"/>
        </w:rPr>
        <w:t>NetEase Agreements</w:t>
      </w:r>
      <w:r>
        <w:rPr>
          <w:rFonts w:ascii="Arial" w:cs="Arial" w:eastAsia="Arial" w:hAnsi="Arial"/>
          <w:sz w:val="18"/>
          <w:szCs w:val="18"/>
          <w:color w:val="auto"/>
        </w:rPr>
        <w:t>”) shall be subject to the approval by vote of a majority of the Board of Directors of NetEase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66" w:lineRule="exact"/>
        <w:rPr>
          <w:sz w:val="20"/>
          <w:szCs w:val="20"/>
          <w:color w:val="auto"/>
        </w:rPr>
      </w:pPr>
    </w:p>
    <w:p>
      <w:pPr>
        <w:ind w:left="2600" w:hanging="647"/>
        <w:spacing w:after="0"/>
        <w:tabs>
          <w:tab w:leader="none" w:pos="26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this Letter of Agreement, as amended and novated on May 1, 2014;</w:t>
      </w:r>
    </w:p>
    <w:p>
      <w:pPr>
        <w:spacing w:after="0" w:line="225" w:lineRule="exact"/>
        <w:rPr>
          <w:rFonts w:ascii="Arial" w:cs="Arial" w:eastAsia="Arial" w:hAnsi="Arial"/>
          <w:sz w:val="18"/>
          <w:szCs w:val="18"/>
          <w:color w:val="auto"/>
        </w:rPr>
      </w:pPr>
    </w:p>
    <w:p>
      <w:pPr>
        <w:ind w:left="660" w:right="280" w:firstLine="1293"/>
        <w:spacing w:after="0" w:line="277" w:lineRule="auto"/>
        <w:tabs>
          <w:tab w:leader="none" w:pos="261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Shareholder Voting Rights Trust Agreement, among NetEase Beijing and other parties thereto, dated May 12, 2000, as amended and novated on May 1, 2014;</w:t>
      </w:r>
    </w:p>
    <w:p>
      <w:pPr>
        <w:spacing w:after="0" w:line="170" w:lineRule="exact"/>
        <w:rPr>
          <w:rFonts w:ascii="Arial" w:cs="Arial" w:eastAsia="Arial" w:hAnsi="Arial"/>
          <w:sz w:val="18"/>
          <w:szCs w:val="18"/>
          <w:color w:val="auto"/>
        </w:rPr>
      </w:pPr>
    </w:p>
    <w:p>
      <w:pPr>
        <w:ind w:left="660" w:right="160" w:firstLine="1293"/>
        <w:spacing w:after="0" w:line="277" w:lineRule="auto"/>
        <w:tabs>
          <w:tab w:leader="none" w:pos="261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Operating Agreement, among NetEase Beijing, Guangyitong and other parties thereto, dated May 10, 2000, as amended and novated on May 1, 2014;</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Equity Pledge Agreement, between NetEase Beijing and Xiaojun Hui, dated May 1, 2014;</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Loan Agreement, between NetEase Beijing and Xiaojun Hui, dated May 1, 2014; and</w:t>
      </w:r>
    </w:p>
    <w:p>
      <w:pPr>
        <w:sectPr>
          <w:pgSz w:w="11900" w:h="16838" w:orient="portrait"/>
          <w:cols w:equalWidth="0" w:num="1">
            <w:col w:w="11420"/>
          </w:cols>
          <w:pgMar w:left="240" w:top="121" w:right="239" w:bottom="99" w:gutter="0" w:footer="0" w:header="0"/>
        </w:sectPr>
      </w:pPr>
    </w:p>
    <w:bookmarkStart w:id="159" w:name="page160"/>
    <w:bookmarkEnd w:id="159"/>
    <w:p>
      <w:pPr>
        <w:ind w:left="660" w:firstLine="1293"/>
        <w:spacing w:after="0" w:line="308" w:lineRule="auto"/>
        <w:tabs>
          <w:tab w:leader="none" w:pos="260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any and all other agreements to which NetEase, NetEase Beijing and/or their respective affiliates is a party on the one side and any of their variable interest entities and/or any of the shareholders of any such variable interest entities on the other side.”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Novation Agreement shall be governed by and construed in accordance with the laws of the Cayman Islands.</w:t>
      </w:r>
    </w:p>
    <w:p>
      <w:pPr>
        <w:spacing w:after="0" w:line="248" w:lineRule="exact"/>
        <w:rPr>
          <w:rFonts w:ascii="Arial" w:cs="Arial" w:eastAsia="Arial" w:hAnsi="Arial"/>
          <w:sz w:val="16"/>
          <w:szCs w:val="16"/>
          <w:color w:val="auto"/>
        </w:rPr>
      </w:pPr>
    </w:p>
    <w:p>
      <w:pPr>
        <w:jc w:val="both"/>
        <w:ind w:right="200" w:firstLine="1305"/>
        <w:spacing w:after="0" w:line="264" w:lineRule="auto"/>
        <w:tabs>
          <w:tab w:leader="none" w:pos="1628"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All terms and conditions of the Letter of Agreement other than those that have been novated and amended by this Novation Agreement shall remain unchanged, and this Novation Agreement, together with the Letter of Agreement, constitutes the entire agreement among the Parties relating to the subject matters hereof.</w:t>
      </w:r>
    </w:p>
    <w:p>
      <w:pPr>
        <w:spacing w:after="0" w:line="181" w:lineRule="exact"/>
        <w:rPr>
          <w:rFonts w:ascii="Arial" w:cs="Arial" w:eastAsia="Arial" w:hAnsi="Arial"/>
          <w:sz w:val="18"/>
          <w:szCs w:val="18"/>
          <w:color w:val="auto"/>
        </w:rPr>
      </w:pPr>
    </w:p>
    <w:p>
      <w:pPr>
        <w:ind w:right="120" w:firstLine="1305"/>
        <w:spacing w:after="0" w:line="277" w:lineRule="auto"/>
        <w:tabs>
          <w:tab w:leader="none" w:pos="1631"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Novation Agreement may be executed in counterparts, each of which shall be deemed an original, but all of which together shall constitute on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Novation Agreement has been executed by the parties effective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NetEase, Inc. (seal)</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60"/>
              <w:spacing w:after="0"/>
              <w:rPr>
                <w:sz w:val="20"/>
                <w:szCs w:val="20"/>
                <w:color w:val="auto"/>
              </w:rPr>
            </w:pPr>
            <w:r>
              <w:rPr>
                <w:rFonts w:ascii="Arial" w:cs="Arial" w:eastAsia="Arial" w:hAnsi="Arial"/>
                <w:sz w:val="18"/>
                <w:szCs w:val="18"/>
                <w:color w:val="auto"/>
              </w:rPr>
              <w:t>/s/ William Lei Ding</w:t>
            </w:r>
          </w:p>
        </w:tc>
      </w:tr>
      <w:tr>
        <w:trPr>
          <w:trHeight w:val="182"/>
        </w:trPr>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120" w:type="dxa"/>
            <w:vAlign w:val="bottom"/>
            <w:tcBorders>
              <w:top w:val="single" w:sz="8" w:color="auto"/>
            </w:tcBorders>
          </w:tcPr>
          <w:p>
            <w:pPr>
              <w:spacing w:after="0"/>
              <w:rPr>
                <w:sz w:val="15"/>
                <w:szCs w:val="15"/>
                <w:color w:val="auto"/>
              </w:rPr>
            </w:pPr>
          </w:p>
        </w:tc>
        <w:tc>
          <w:tcPr>
            <w:tcW w:w="5140" w:type="dxa"/>
            <w:vAlign w:val="bottom"/>
            <w:tcBorders>
              <w:top w:val="single" w:sz="8" w:color="auto"/>
            </w:tcBorders>
          </w:tcPr>
          <w:p>
            <w:pPr>
              <w:spacing w:after="0"/>
              <w:rPr>
                <w:sz w:val="15"/>
                <w:szCs w:val="15"/>
                <w:color w:val="auto"/>
              </w:rPr>
            </w:pP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William Lei Ding</w:t>
      </w:r>
    </w:p>
    <w:p>
      <w:pPr>
        <w:spacing w:after="0" w:line="22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 Ding</w:t>
      </w:r>
    </w:p>
    <w:p>
      <w:pPr>
        <w:spacing w:after="0" w:line="22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Bo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Xiaojun Hui</w:t>
      </w:r>
    </w:p>
    <w:p>
      <w:pPr>
        <w:spacing w:after="0" w:line="22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Xiaojun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Information Technology (Beijing) Co., Ltd. (seal)</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Lei 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Guangzhou NetEase Computer System Co., Ltd. (seal)</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Lei 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 Guangyitong Advertising Co., Ltd. (seal)</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Lei 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53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25" w:right="239" w:bottom="1083"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83"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4.35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May 1, 2014:</w:t>
      </w:r>
    </w:p>
    <w:p>
      <w:pPr>
        <w:spacing w:after="0" w:line="225" w:lineRule="exact"/>
        <w:rPr>
          <w:sz w:val="20"/>
          <w:szCs w:val="20"/>
          <w:color w:val="auto"/>
        </w:rPr>
      </w:pPr>
    </w:p>
    <w:p>
      <w:pPr>
        <w:jc w:val="both"/>
        <w:ind w:left="1300" w:right="480" w:hanging="644"/>
        <w:spacing w:after="0" w:line="266" w:lineRule="auto"/>
        <w:tabs>
          <w:tab w:leader="none" w:pos="1307"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 xml:space="preserve">NetEase Information Technology (Beijing) Co., Ltd. </w:t>
      </w: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 wholly foreign owned enterprise registered in Beijing, People’s</w:t>
      </w:r>
      <w:r>
        <w:rPr>
          <w:rFonts w:ascii="Arial" w:cs="Arial" w:eastAsia="Arial" w:hAnsi="Arial"/>
          <w:sz w:val="18"/>
          <w:szCs w:val="18"/>
          <w:b w:val="1"/>
          <w:bCs w:val="1"/>
          <w:color w:val="auto"/>
        </w:rPr>
        <w:t xml:space="preserve"> </w:t>
      </w:r>
      <w:r>
        <w:rPr>
          <w:rFonts w:ascii="Arial" w:cs="Arial" w:eastAsia="Arial" w:hAnsi="Arial"/>
          <w:sz w:val="18"/>
          <w:szCs w:val="18"/>
          <w:color w:val="auto"/>
        </w:rPr>
        <w:t>Republic of China (“</w:t>
      </w:r>
      <w:r>
        <w:rPr>
          <w:rFonts w:ascii="Arial" w:cs="Arial" w:eastAsia="Arial" w:hAnsi="Arial"/>
          <w:sz w:val="18"/>
          <w:szCs w:val="18"/>
          <w:b w:val="1"/>
          <w:bCs w:val="1"/>
          <w:color w:val="auto"/>
        </w:rPr>
        <w:t>PRC</w:t>
      </w:r>
      <w:r>
        <w:rPr>
          <w:rFonts w:ascii="Arial" w:cs="Arial" w:eastAsia="Arial" w:hAnsi="Arial"/>
          <w:sz w:val="18"/>
          <w:szCs w:val="18"/>
          <w:color w:val="auto"/>
        </w:rPr>
        <w:t>”) with its address at 26/F, SP Tower D, Tsinghua Science Park Building 8, No.1 Zhongguancun East Road, Haidian District, Beijing 100084, PRC; and</w:t>
      </w:r>
    </w:p>
    <w:p>
      <w:pPr>
        <w:spacing w:after="0" w:line="176" w:lineRule="exact"/>
        <w:rPr>
          <w:sz w:val="20"/>
          <w:szCs w:val="20"/>
          <w:color w:val="auto"/>
        </w:rPr>
      </w:pPr>
    </w:p>
    <w:p>
      <w:pPr>
        <w:ind w:left="1300" w:right="240" w:hanging="644"/>
        <w:spacing w:after="0" w:line="282" w:lineRule="auto"/>
        <w:tabs>
          <w:tab w:leader="none" w:pos="1307"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 xml:space="preserve">Xiaojun Hui </w:t>
      </w:r>
      <w:r>
        <w:rPr>
          <w:rFonts w:ascii="Arial" w:cs="Arial" w:eastAsia="Arial" w:hAnsi="Arial"/>
          <w:sz w:val="18"/>
          <w:szCs w:val="18"/>
          <w:color w:val="auto"/>
        </w:rPr>
        <w:t>(ID Number: 622101197708150778, “</w:t>
      </w:r>
      <w:r>
        <w:rPr>
          <w:rFonts w:ascii="Arial" w:cs="Arial" w:eastAsia="Arial" w:hAnsi="Arial"/>
          <w:sz w:val="18"/>
          <w:szCs w:val="18"/>
          <w:b w:val="1"/>
          <w:bCs w:val="1"/>
          <w:color w:val="auto"/>
        </w:rPr>
        <w:t>Borrower</w:t>
      </w:r>
      <w:r>
        <w:rPr>
          <w:rFonts w:ascii="Arial" w:cs="Arial" w:eastAsia="Arial" w:hAnsi="Arial"/>
          <w:sz w:val="18"/>
          <w:szCs w:val="18"/>
          <w:color w:val="auto"/>
        </w:rPr>
        <w:t>”), a PRC citizen with his address at No.104 Tianhe Road, Tianhe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Guangzhou, Guangdong, PRC.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and Borrower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5" w:lineRule="exact"/>
        <w:rPr>
          <w:sz w:val="20"/>
          <w:szCs w:val="20"/>
          <w:color w:val="auto"/>
        </w:rPr>
      </w:pPr>
    </w:p>
    <w:p>
      <w:pPr>
        <w:ind w:left="1300" w:right="20" w:hanging="644"/>
        <w:spacing w:after="0" w:line="261" w:lineRule="auto"/>
        <w:tabs>
          <w:tab w:leader="none" w:pos="13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Borrower entered into an Equity Transfer Agreement on May 1, 2014, according to which Borrower will acquire 1% (the “</w:t>
      </w:r>
      <w:r>
        <w:rPr>
          <w:rFonts w:ascii="Arial" w:cs="Arial" w:eastAsia="Arial" w:hAnsi="Arial"/>
          <w:sz w:val="18"/>
          <w:szCs w:val="18"/>
          <w:b w:val="1"/>
          <w:bCs w:val="1"/>
          <w:color w:val="auto"/>
        </w:rPr>
        <w:t>Target Equity</w:t>
      </w:r>
      <w:r>
        <w:rPr>
          <w:rFonts w:ascii="Arial" w:cs="Arial" w:eastAsia="Arial" w:hAnsi="Arial"/>
          <w:sz w:val="18"/>
          <w:szCs w:val="18"/>
          <w:color w:val="auto"/>
        </w:rPr>
        <w:t>”) of the equity interests in Guangzhou NetEase Computer System Co., Ltd., a limited liability company registered in Guangzhou, PRC with its address at 702A, No. 59 Jianzhong Road, Tianhe District, Guangzhou, Guangdong, PRC (the “</w:t>
      </w:r>
      <w:r>
        <w:rPr>
          <w:rFonts w:ascii="Arial" w:cs="Arial" w:eastAsia="Arial" w:hAnsi="Arial"/>
          <w:sz w:val="18"/>
          <w:szCs w:val="18"/>
          <w:b w:val="1"/>
          <w:bCs w:val="1"/>
          <w:color w:val="auto"/>
        </w:rPr>
        <w:t>Domestic Company</w:t>
      </w:r>
      <w:r>
        <w:rPr>
          <w:rFonts w:ascii="Arial" w:cs="Arial" w:eastAsia="Arial" w:hAnsi="Arial"/>
          <w:sz w:val="18"/>
          <w:szCs w:val="18"/>
          <w:color w:val="auto"/>
        </w:rPr>
        <w:t>”), from Mr. Bo Ding in exchange for RMB 200,000 Yuan (the “</w:t>
      </w:r>
      <w:r>
        <w:rPr>
          <w:rFonts w:ascii="Arial" w:cs="Arial" w:eastAsia="Arial" w:hAnsi="Arial"/>
          <w:sz w:val="18"/>
          <w:szCs w:val="18"/>
          <w:b w:val="1"/>
          <w:bCs w:val="1"/>
          <w:color w:val="auto"/>
        </w:rPr>
        <w:t>Equity Transfer Price”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00" w:right="40" w:hanging="644"/>
        <w:spacing w:after="0" w:line="286" w:lineRule="auto"/>
        <w:tabs>
          <w:tab w:leader="none" w:pos="131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Lender agrees to provide to Borrower a loan in an amount equal to the Equity Transfer Price in accordance with this Agreement in order for Borrower to have sufficient funds to acquire the Target Equity, and Lender may in its absolute discretion provide to Borrower additional loans from time to time in accordance with this Agreement in amounts as agreed to by Lender and Borrower.</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Parties desire to enter into this Agreement to clarify and confirm the rights and obligations of Lender and Borrower.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1300" w:right="60" w:hanging="648"/>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7"/>
          <w:szCs w:val="17"/>
          <w:color w:val="auto"/>
        </w:rPr>
        <w:t>On and subject to the terms and conditions hereof, Lender provides Borrower with a loan in an aggregate amount of RMB 200,000 Yuan on the date hereof (the “</w:t>
      </w:r>
      <w:r>
        <w:rPr>
          <w:rFonts w:ascii="Arial" w:cs="Arial" w:eastAsia="Arial" w:hAnsi="Arial"/>
          <w:sz w:val="17"/>
          <w:szCs w:val="17"/>
          <w:b w:val="1"/>
          <w:bCs w:val="1"/>
          <w:color w:val="auto"/>
        </w:rPr>
        <w:t>Loan</w:t>
      </w:r>
      <w:r>
        <w:rPr>
          <w:rFonts w:ascii="Arial" w:cs="Arial" w:eastAsia="Arial" w:hAnsi="Arial"/>
          <w:sz w:val="17"/>
          <w:szCs w:val="17"/>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7"/>
          <w:szCs w:val="17"/>
          <w:b w:val="1"/>
          <w:bCs w:val="1"/>
          <w:color w:val="auto"/>
        </w:rPr>
        <w:t>Additional Loan</w:t>
      </w:r>
      <w:r>
        <w:rPr>
          <w:rFonts w:ascii="Arial" w:cs="Arial" w:eastAsia="Arial" w:hAnsi="Arial"/>
          <w:sz w:val="17"/>
          <w:szCs w:val="17"/>
          <w:color w:val="auto"/>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Both Parties agree and confirm that the Loan shall be interest-free, except as provided in Article 1.5 below.</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1300" w:right="160" w:hanging="648"/>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The term of this Agreement (“</w:t>
      </w:r>
      <w:r>
        <w:rPr>
          <w:rFonts w:ascii="Arial" w:cs="Arial" w:eastAsia="Arial" w:hAnsi="Arial"/>
          <w:sz w:val="16"/>
          <w:szCs w:val="16"/>
          <w:b w:val="1"/>
          <w:bCs w:val="1"/>
          <w:color w:val="auto"/>
        </w:rPr>
        <w:t>Term</w:t>
      </w:r>
      <w:r>
        <w:rPr>
          <w:rFonts w:ascii="Arial" w:cs="Arial" w:eastAsia="Arial" w:hAnsi="Arial"/>
          <w:sz w:val="16"/>
          <w:szCs w:val="16"/>
          <w:color w:val="auto"/>
        </w:rPr>
        <w:t>”) shall be ten (10) years from the date of this Agreement, unless extended upon mutual consent of the Parties or earlier terminated in accordance with the terms hereof. Subject to Article 1.3, Borrower shall repay all amounts outstanding in respect of the Loan (including any penalty or interest thereon) according to Article 1.4 at the expiry or termination of the Term.</w:t>
      </w:r>
    </w:p>
    <w:p>
      <w:pPr>
        <w:spacing w:after="0" w:line="146" w:lineRule="exact"/>
        <w:rPr>
          <w:rFonts w:ascii="Arial" w:cs="Arial" w:eastAsia="Arial" w:hAnsi="Arial"/>
          <w:sz w:val="18"/>
          <w:szCs w:val="18"/>
          <w:b w:val="1"/>
          <w:bCs w:val="1"/>
          <w:color w:val="auto"/>
        </w:rPr>
      </w:pPr>
    </w:p>
    <w:p>
      <w:pPr>
        <w:ind w:left="1300" w:right="80" w:hanging="648"/>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17"/>
          <w:szCs w:val="17"/>
          <w:color w:val="auto"/>
        </w:rPr>
        <w:t>Borrower shall not, without Lender’s prior written consent, which maybe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according to Article 1.4:</w:t>
      </w:r>
    </w:p>
    <w:p>
      <w:pPr>
        <w:spacing w:after="0" w:line="165" w:lineRule="exact"/>
        <w:rPr>
          <w:rFonts w:ascii="Arial" w:cs="Arial" w:eastAsia="Arial" w:hAnsi="Arial"/>
          <w:sz w:val="18"/>
          <w:szCs w:val="18"/>
          <w:b w:val="1"/>
          <w:bCs w:val="1"/>
          <w:color w:val="auto"/>
        </w:rPr>
      </w:pPr>
    </w:p>
    <w:p>
      <w:pPr>
        <w:ind w:left="1940" w:hanging="635"/>
        <w:spacing w:after="0"/>
        <w:tabs>
          <w:tab w:leader="none" w:pos="194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36" w:lineRule="exact"/>
        <w:rPr>
          <w:rFonts w:ascii="Arial" w:cs="Arial" w:eastAsia="Arial" w:hAnsi="Arial"/>
          <w:sz w:val="17"/>
          <w:szCs w:val="17"/>
          <w:color w:val="auto"/>
        </w:rPr>
      </w:pPr>
    </w:p>
    <w:p>
      <w:pPr>
        <w:jc w:val="both"/>
        <w:ind w:left="1960" w:right="120" w:hanging="655"/>
        <w:spacing w:after="0" w:line="264" w:lineRule="auto"/>
        <w:tabs>
          <w:tab w:leader="none" w:pos="196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Borrower, for any reason, ceases to be the holder of equity interests in the Domestic Company or reduces his proportion of equity interests in the Domestic Company from that set forth in Recital (A) above except for transfers of equity interests in the Domestic Company to which Lender has consented;</w:t>
      </w:r>
    </w:p>
    <w:p>
      <w:pPr>
        <w:spacing w:after="0" w:line="181" w:lineRule="exact"/>
        <w:rPr>
          <w:rFonts w:ascii="Arial" w:cs="Arial" w:eastAsia="Arial" w:hAnsi="Arial"/>
          <w:sz w:val="18"/>
          <w:szCs w:val="18"/>
          <w:color w:val="auto"/>
        </w:rPr>
      </w:pPr>
    </w:p>
    <w:p>
      <w:pPr>
        <w:ind w:left="1960" w:right="140" w:hanging="655"/>
        <w:spacing w:after="0" w:line="257" w:lineRule="auto"/>
        <w:tabs>
          <w:tab w:leader="none" w:pos="197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Borrower engages in any criminal act or is involved in any criminal activities; provided, that if Borrower engages in any criminal act or is involved in any criminal activities, Borrower shall transfer his rights and obligation under this Agreement, together with his rights and obligations under the Equity Pledge Agreement and the Shareholder Voting Right Trust Agreement attached hereto as appendices, to a person designated by Lender and shall complete such transfer within 10 days after the occurrence of circumstance under this Article 1.3(c); or</w:t>
      </w:r>
    </w:p>
    <w:p>
      <w:pPr>
        <w:spacing w:after="0" w:line="188" w:lineRule="exact"/>
        <w:rPr>
          <w:rFonts w:ascii="Arial" w:cs="Arial" w:eastAsia="Arial" w:hAnsi="Arial"/>
          <w:sz w:val="18"/>
          <w:szCs w:val="18"/>
          <w:color w:val="auto"/>
        </w:rPr>
      </w:pPr>
    </w:p>
    <w:p>
      <w:pPr>
        <w:ind w:left="1960" w:right="360" w:hanging="655"/>
        <w:spacing w:after="0" w:line="277" w:lineRule="auto"/>
        <w:tabs>
          <w:tab w:leader="none" w:pos="196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expiry of thirty (30) days from the date of Lender’s written notice to Borrower requiring the repayment of the Loan, which notice may be issued by Lender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-3425825</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both"/>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81" w:lineRule="exact"/>
        <w:rPr>
          <w:sz w:val="20"/>
          <w:szCs w:val="20"/>
          <w:color w:val="auto"/>
        </w:rPr>
      </w:pPr>
    </w:p>
    <w:p>
      <w:pPr>
        <w:ind w:left="1960" w:right="60" w:hanging="655"/>
        <w:spacing w:after="0" w:line="277" w:lineRule="auto"/>
        <w:tabs>
          <w:tab w:leader="none" w:pos="195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Equity Option. If selected by Lender, Borrower shall repay the Loan by transferring his equity interests in the Domestic Company (“</w:t>
      </w:r>
      <w:r>
        <w:rPr>
          <w:rFonts w:ascii="Arial" w:cs="Arial" w:eastAsia="Arial" w:hAnsi="Arial"/>
          <w:sz w:val="18"/>
          <w:szCs w:val="18"/>
          <w:b w:val="1"/>
          <w:bCs w:val="1"/>
          <w:color w:val="auto"/>
        </w:rPr>
        <w:t>Borrower’s Equity</w:t>
      </w:r>
      <w:r>
        <w:rPr>
          <w:rFonts w:ascii="Arial" w:cs="Arial" w:eastAsia="Arial" w:hAnsi="Arial"/>
          <w:sz w:val="18"/>
          <w:szCs w:val="18"/>
          <w:color w:val="auto"/>
        </w:rPr>
        <w:t>”) to Lender or Lender’s designated persons;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5" w:gutter="0" w:footer="0" w:header="0"/>
        </w:sectPr>
      </w:pPr>
    </w:p>
    <w:bookmarkStart w:id="161" w:name="page162"/>
    <w:bookmarkEnd w:id="161"/>
    <w:p>
      <w:pPr>
        <w:ind w:left="1952" w:right="20" w:hanging="655"/>
        <w:spacing w:after="0" w:line="279" w:lineRule="auto"/>
        <w:tabs>
          <w:tab w:leader="none" w:pos="195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transfer price for Borrower’s Equity pursuant to Article 1.4(a) or the other consideration provided by Borrower pursuant to</w:t>
      </w:r>
    </w:p>
    <w:p>
      <w:pPr>
        <w:spacing w:after="0" w:line="23" w:lineRule="exact"/>
        <w:rPr>
          <w:sz w:val="20"/>
          <w:szCs w:val="20"/>
          <w:color w:val="auto"/>
        </w:rPr>
      </w:pPr>
    </w:p>
    <w:p>
      <w:pPr>
        <w:ind w:left="1292" w:right="20"/>
        <w:spacing w:after="0" w:line="277" w:lineRule="auto"/>
        <w:rPr>
          <w:sz w:val="20"/>
          <w:szCs w:val="20"/>
          <w:color w:val="auto"/>
        </w:rPr>
      </w:pPr>
      <w:r>
        <w:rPr>
          <w:rFonts w:ascii="Arial" w:cs="Arial" w:eastAsia="Arial" w:hAnsi="Arial"/>
          <w:sz w:val="17"/>
          <w:szCs w:val="17"/>
          <w:color w:val="auto"/>
        </w:rPr>
        <w:t>Article 1.4(b) exceeds the outstanding principal of the Loan hereunder, then such excess shall be deemed the aggregate interest accrued and payable with respect to the Loan and shall be payable by Borrower. Borrower shall repay all interest on the Loan, together with principal and penalty (if any), at the expiry or termination of the Term or when otherwise required hereunder.</w:t>
      </w:r>
    </w:p>
    <w:p>
      <w:pPr>
        <w:spacing w:after="0" w:line="173"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Article 1.4(a) or provides the other required consideration pursuant to Article 1.4(b) and subject to Borrower’s indemnification obligations</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set forth in Article 4.2 herein, Borrower shall have no further obligation to Lender for any principal, interest or penalty (if any) under the</w:t>
      </w:r>
    </w:p>
    <w:p>
      <w:pPr>
        <w:spacing w:after="0" w:line="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part or whole of the Loan repaid by Borrower may not be re-borrowed under this Agreement without Lender’s consent.</w:t>
      </w:r>
    </w:p>
    <w:p>
      <w:pPr>
        <w:spacing w:after="0" w:line="221" w:lineRule="exact"/>
        <w:rPr>
          <w:sz w:val="20"/>
          <w:szCs w:val="20"/>
          <w:color w:val="auto"/>
        </w:rPr>
      </w:pPr>
    </w:p>
    <w:p>
      <w:pPr>
        <w:ind w:left="652" w:hanging="652"/>
        <w:spacing w:after="0"/>
        <w:tabs>
          <w:tab w:leader="none" w:pos="652"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2.1.As of the date of this Agreement and during the Term through the date of termination or expiration of this Agreement, Lender represents and warrants to Borrower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Lender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40" w:hanging="655"/>
        <w:spacing w:after="0" w:line="312" w:lineRule="auto"/>
        <w:tabs>
          <w:tab w:leader="none" w:pos="195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46" w:lineRule="exact"/>
        <w:rPr>
          <w:rFonts w:ascii="Arial" w:cs="Arial" w:eastAsia="Arial" w:hAnsi="Arial"/>
          <w:sz w:val="16"/>
          <w:szCs w:val="16"/>
          <w:color w:val="auto"/>
        </w:rPr>
      </w:pPr>
    </w:p>
    <w:p>
      <w:pPr>
        <w:ind w:left="1952" w:right="260" w:hanging="655"/>
        <w:spacing w:after="0" w:line="286" w:lineRule="auto"/>
        <w:tabs>
          <w:tab w:leader="none" w:pos="1963" w:val="left"/>
        </w:tabs>
        <w:numPr>
          <w:ilvl w:val="1"/>
          <w:numId w:val="297"/>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Lender upon execution.</w:t>
      </w:r>
    </w:p>
    <w:p>
      <w:pPr>
        <w:spacing w:after="0" w:line="225" w:lineRule="exact"/>
        <w:rPr>
          <w:sz w:val="20"/>
          <w:szCs w:val="20"/>
          <w:color w:val="auto"/>
        </w:rPr>
      </w:pPr>
    </w:p>
    <w:p>
      <w:pPr>
        <w:ind w:left="1292" w:right="6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of the date of this Agreement and during the Term through the date of termination or expiration of this Agreement, Borrower represents and warrants to Lender as follows:</w:t>
      </w:r>
    </w:p>
    <w:p>
      <w:pPr>
        <w:spacing w:after="0" w:line="170" w:lineRule="exact"/>
        <w:rPr>
          <w:sz w:val="20"/>
          <w:szCs w:val="20"/>
          <w:color w:val="auto"/>
        </w:rPr>
      </w:pPr>
    </w:p>
    <w:p>
      <w:pPr>
        <w:ind w:left="1952" w:right="120" w:hanging="655"/>
        <w:spacing w:after="0" w:line="277" w:lineRule="auto"/>
        <w:tabs>
          <w:tab w:leader="none" w:pos="194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Domestic Company is a limited liability company duly registered and existing under PRC law and Borrower is or will be the lawful holder of Borrower’s Equity.</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Borrower has the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80" w:hanging="655"/>
        <w:spacing w:after="0" w:line="286" w:lineRule="auto"/>
        <w:tabs>
          <w:tab w:leader="none" w:pos="1963"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on Borrower upon execution.</w:t>
      </w:r>
    </w:p>
    <w:p>
      <w:pPr>
        <w:spacing w:after="0" w:line="225" w:lineRule="exact"/>
        <w:rPr>
          <w:rFonts w:ascii="Arial" w:cs="Arial" w:eastAsia="Arial" w:hAnsi="Arial"/>
          <w:sz w:val="18"/>
          <w:szCs w:val="18"/>
          <w:color w:val="auto"/>
        </w:rPr>
      </w:pPr>
    </w:p>
    <w:p>
      <w:pPr>
        <w:jc w:val="both"/>
        <w:ind w:left="1952" w:right="180" w:hanging="655"/>
        <w:spacing w:after="0" w:line="288" w:lineRule="auto"/>
        <w:tabs>
          <w:tab w:leader="none" w:pos="1963"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w:t>
      </w:r>
    </w:p>
    <w:p>
      <w:pPr>
        <w:ind w:left="1952"/>
        <w:spacing w:after="0" w:line="255" w:lineRule="auto"/>
        <w:rPr>
          <w:rFonts w:ascii="Arial" w:cs="Arial" w:eastAsia="Arial" w:hAnsi="Arial"/>
          <w:sz w:val="16"/>
          <w:szCs w:val="16"/>
          <w:color w:val="auto"/>
        </w:rPr>
      </w:pPr>
      <w:r>
        <w:rPr>
          <w:rFonts w:ascii="Arial" w:cs="Arial" w:eastAsia="Arial" w:hAnsi="Arial"/>
          <w:sz w:val="18"/>
          <w:szCs w:val="18"/>
          <w:color w:val="auto"/>
        </w:rPr>
        <w:t>(iii)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p>
      <w:pPr>
        <w:spacing w:after="0" w:line="190" w:lineRule="exact"/>
        <w:rPr>
          <w:rFonts w:ascii="Arial" w:cs="Arial" w:eastAsia="Arial" w:hAnsi="Arial"/>
          <w:sz w:val="16"/>
          <w:szCs w:val="16"/>
          <w:color w:val="auto"/>
        </w:rPr>
      </w:pPr>
    </w:p>
    <w:p>
      <w:pPr>
        <w:ind w:left="1952" w:right="160" w:hanging="655"/>
        <w:spacing w:after="0" w:line="286" w:lineRule="auto"/>
        <w:tabs>
          <w:tab w:leader="none" w:pos="1956"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1" w:lineRule="exact"/>
        <w:rPr>
          <w:rFonts w:ascii="Arial" w:cs="Arial" w:eastAsia="Arial" w:hAnsi="Arial"/>
          <w:sz w:val="17"/>
          <w:szCs w:val="17"/>
          <w:color w:val="auto"/>
        </w:rPr>
      </w:pPr>
    </w:p>
    <w:p>
      <w:pPr>
        <w:ind w:left="652" w:hanging="652"/>
        <w:spacing w:after="0"/>
        <w:tabs>
          <w:tab w:leader="none" w:pos="652"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Undertakings</w:t>
      </w:r>
    </w:p>
    <w:p>
      <w:pPr>
        <w:spacing w:after="0" w:line="229" w:lineRule="exact"/>
        <w:rPr>
          <w:rFonts w:ascii="Arial" w:cs="Arial" w:eastAsia="Arial" w:hAnsi="Arial"/>
          <w:sz w:val="18"/>
          <w:szCs w:val="18"/>
          <w:b w:val="1"/>
          <w:bCs w:val="1"/>
          <w:color w:val="auto"/>
        </w:rPr>
      </w:pPr>
    </w:p>
    <w:p>
      <w:pPr>
        <w:ind w:left="1292" w:right="9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3.1.Borrower undertakes in his capacity as a shareholder of the Domestic Company that Borrower will, and together with the other shareholder(s) of the Domestic Company will cause the Domestic Company to (as applicable):</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60" w:hanging="655"/>
        <w:spacing w:after="0" w:line="277" w:lineRule="auto"/>
        <w:tabs>
          <w:tab w:leader="none" w:pos="194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enter into the Equity Pledge Agreement and the Amendment and Novation of Shareholder Voting Right Trust Agreement in the same form and substance as set forth in Appendices I and II hereto.</w:t>
      </w:r>
    </w:p>
    <w:p>
      <w:pPr>
        <w:sectPr>
          <w:pgSz w:w="11900" w:h="16838" w:orient="portrait"/>
          <w:cols w:equalWidth="0" w:num="1">
            <w:col w:w="11372"/>
          </w:cols>
          <w:pgMar w:left="248" w:top="125" w:right="279" w:bottom="0" w:gutter="0" w:footer="0" w:header="0"/>
        </w:sectPr>
      </w:pPr>
    </w:p>
    <w:bookmarkStart w:id="162" w:name="page163"/>
    <w:bookmarkEnd w:id="162"/>
    <w:p>
      <w:pPr>
        <w:ind w:left="1300" w:right="220" w:hanging="655"/>
        <w:spacing w:after="0" w:line="264" w:lineRule="auto"/>
        <w:tabs>
          <w:tab w:leader="none" w:pos="130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81" w:lineRule="exact"/>
        <w:rPr>
          <w:rFonts w:ascii="Arial" w:cs="Arial" w:eastAsia="Arial" w:hAnsi="Arial"/>
          <w:sz w:val="18"/>
          <w:szCs w:val="18"/>
          <w:color w:val="auto"/>
        </w:rPr>
      </w:pPr>
    </w:p>
    <w:p>
      <w:pPr>
        <w:ind w:left="1300" w:right="80" w:hanging="655"/>
        <w:spacing w:after="0" w:line="264" w:lineRule="auto"/>
        <w:tabs>
          <w:tab w:leader="none" w:pos="131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81" w:lineRule="exact"/>
        <w:rPr>
          <w:rFonts w:ascii="Arial" w:cs="Arial" w:eastAsia="Arial" w:hAnsi="Arial"/>
          <w:sz w:val="18"/>
          <w:szCs w:val="18"/>
          <w:color w:val="auto"/>
        </w:rPr>
      </w:pPr>
    </w:p>
    <w:p>
      <w:pPr>
        <w:ind w:left="1300" w:right="80" w:hanging="655"/>
        <w:spacing w:after="0" w:line="264" w:lineRule="auto"/>
        <w:tabs>
          <w:tab w:leader="none" w:pos="130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 without the prior written consent of Lender, grant any loan or credit to any person;</w:t>
      </w:r>
    </w:p>
    <w:p>
      <w:pPr>
        <w:spacing w:after="0" w:line="225" w:lineRule="exact"/>
        <w:rPr>
          <w:rFonts w:ascii="Arial" w:cs="Arial" w:eastAsia="Arial" w:hAnsi="Arial"/>
          <w:sz w:val="18"/>
          <w:szCs w:val="18"/>
          <w:color w:val="auto"/>
        </w:rPr>
      </w:pPr>
    </w:p>
    <w:p>
      <w:pPr>
        <w:ind w:left="1300" w:right="280" w:hanging="655"/>
        <w:spacing w:after="0" w:line="277" w:lineRule="auto"/>
        <w:tabs>
          <w:tab w:leader="none" w:pos="13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upon Lender’s request, provide to Lender all the information with respect to the operations and financial status of the Domestic Company;</w:t>
      </w:r>
    </w:p>
    <w:p>
      <w:pPr>
        <w:spacing w:after="0" w:line="170" w:lineRule="exact"/>
        <w:rPr>
          <w:rFonts w:ascii="Arial" w:cs="Arial" w:eastAsia="Arial" w:hAnsi="Arial"/>
          <w:sz w:val="18"/>
          <w:szCs w:val="18"/>
          <w:color w:val="auto"/>
        </w:rPr>
      </w:pPr>
    </w:p>
    <w:p>
      <w:pPr>
        <w:ind w:left="1300" w:right="340" w:hanging="655"/>
        <w:spacing w:after="0" w:line="277" w:lineRule="auto"/>
        <w:tabs>
          <w:tab w:leader="none" w:pos="132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 without the prior written consent of Lender, merge or amalgamate with or form any alliance with any person, or acquire or invest in any person;</w:t>
      </w:r>
    </w:p>
    <w:p>
      <w:pPr>
        <w:spacing w:after="0" w:line="170" w:lineRule="exact"/>
        <w:rPr>
          <w:rFonts w:ascii="Arial" w:cs="Arial" w:eastAsia="Arial" w:hAnsi="Arial"/>
          <w:sz w:val="18"/>
          <w:szCs w:val="18"/>
          <w:color w:val="auto"/>
        </w:rPr>
      </w:pPr>
    </w:p>
    <w:p>
      <w:pPr>
        <w:ind w:left="1300" w:right="180" w:hanging="655"/>
        <w:spacing w:after="0" w:line="277" w:lineRule="auto"/>
        <w:tabs>
          <w:tab w:leader="none" w:pos="130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its assets, businesses and revenues;</w:t>
      </w:r>
    </w:p>
    <w:p>
      <w:pPr>
        <w:spacing w:after="0" w:line="170" w:lineRule="exact"/>
        <w:rPr>
          <w:rFonts w:ascii="Arial" w:cs="Arial" w:eastAsia="Arial" w:hAnsi="Arial"/>
          <w:sz w:val="18"/>
          <w:szCs w:val="18"/>
          <w:color w:val="auto"/>
        </w:rPr>
      </w:pPr>
    </w:p>
    <w:p>
      <w:pPr>
        <w:ind w:left="1300" w:right="520" w:hanging="655"/>
        <w:spacing w:after="0" w:line="264" w:lineRule="auto"/>
        <w:tabs>
          <w:tab w:leader="none" w:pos="132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81" w:lineRule="exact"/>
        <w:rPr>
          <w:rFonts w:ascii="Arial" w:cs="Arial" w:eastAsia="Arial" w:hAnsi="Arial"/>
          <w:sz w:val="18"/>
          <w:szCs w:val="18"/>
          <w:color w:val="auto"/>
        </w:rPr>
      </w:pPr>
    </w:p>
    <w:p>
      <w:pPr>
        <w:ind w:left="1300" w:right="160" w:hanging="655"/>
        <w:spacing w:after="0" w:line="308" w:lineRule="auto"/>
        <w:tabs>
          <w:tab w:leader="none" w:pos="130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46" w:lineRule="exact"/>
        <w:rPr>
          <w:rFonts w:ascii="Arial" w:cs="Arial" w:eastAsia="Arial" w:hAnsi="Arial"/>
          <w:sz w:val="17"/>
          <w:szCs w:val="17"/>
          <w:color w:val="auto"/>
        </w:rPr>
      </w:pPr>
    </w:p>
    <w:p>
      <w:pPr>
        <w:ind w:left="5000" w:right="100" w:hanging="4355"/>
        <w:spacing w:after="0" w:line="528" w:lineRule="auto"/>
        <w:tabs>
          <w:tab w:leader="none" w:pos="129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and senior officers of the Domestic Company; and 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00" w:right="260" w:hanging="655"/>
        <w:spacing w:after="0" w:line="308" w:lineRule="auto"/>
        <w:tabs>
          <w:tab w:leader="none" w:pos="1321" w:val="left"/>
        </w:tabs>
        <w:numPr>
          <w:ilvl w:val="0"/>
          <w:numId w:val="302"/>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-696595</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Borrower undertakes that during the Term, he shall:</w:t>
      </w:r>
    </w:p>
    <w:p>
      <w:pPr>
        <w:spacing w:after="0" w:line="225" w:lineRule="exact"/>
        <w:rPr>
          <w:sz w:val="20"/>
          <w:szCs w:val="20"/>
          <w:color w:val="auto"/>
        </w:rPr>
      </w:pPr>
    </w:p>
    <w:p>
      <w:pPr>
        <w:jc w:val="both"/>
        <w:ind w:left="1300" w:hanging="655"/>
        <w:spacing w:after="0" w:line="264" w:lineRule="auto"/>
        <w:tabs>
          <w:tab w:leader="none" w:pos="129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81" w:lineRule="exact"/>
        <w:rPr>
          <w:rFonts w:ascii="Arial" w:cs="Arial" w:eastAsia="Arial" w:hAnsi="Arial"/>
          <w:sz w:val="18"/>
          <w:szCs w:val="18"/>
          <w:color w:val="auto"/>
        </w:rPr>
      </w:pPr>
    </w:p>
    <w:p>
      <w:pPr>
        <w:ind w:left="1300" w:right="40" w:hanging="655"/>
        <w:spacing w:after="0" w:line="286" w:lineRule="auto"/>
        <w:tabs>
          <w:tab w:leader="none" w:pos="130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65" w:lineRule="exact"/>
        <w:rPr>
          <w:rFonts w:ascii="Arial" w:cs="Arial" w:eastAsia="Arial" w:hAnsi="Arial"/>
          <w:sz w:val="17"/>
          <w:szCs w:val="17"/>
          <w:color w:val="auto"/>
        </w:rPr>
      </w:pPr>
    </w:p>
    <w:p>
      <w:pPr>
        <w:ind w:left="1300" w:right="80" w:hanging="655"/>
        <w:spacing w:after="0" w:line="277" w:lineRule="auto"/>
        <w:tabs>
          <w:tab w:leader="none" w:pos="13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cause the shareholders’ meeting of the Domestic Company not to approve the merger or alliance with any person or acquisition or investment in any person without the prior written consent of Lender;</w:t>
      </w:r>
    </w:p>
    <w:p>
      <w:pPr>
        <w:spacing w:after="0" w:line="170" w:lineRule="exact"/>
        <w:rPr>
          <w:rFonts w:ascii="Arial" w:cs="Arial" w:eastAsia="Arial" w:hAnsi="Arial"/>
          <w:sz w:val="18"/>
          <w:szCs w:val="18"/>
          <w:color w:val="auto"/>
        </w:rPr>
      </w:pPr>
    </w:p>
    <w:p>
      <w:pPr>
        <w:ind w:left="1300" w:right="180" w:hanging="655"/>
        <w:spacing w:after="0" w:line="277" w:lineRule="auto"/>
        <w:tabs>
          <w:tab w:leader="none" w:pos="130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Borrower’s Equity;</w:t>
      </w:r>
    </w:p>
    <w:p>
      <w:pPr>
        <w:spacing w:after="0" w:line="170" w:lineRule="exact"/>
        <w:rPr>
          <w:rFonts w:ascii="Arial" w:cs="Arial" w:eastAsia="Arial" w:hAnsi="Arial"/>
          <w:sz w:val="18"/>
          <w:szCs w:val="18"/>
          <w:color w:val="auto"/>
        </w:rPr>
      </w:pPr>
    </w:p>
    <w:p>
      <w:pPr>
        <w:ind w:left="1300" w:right="220" w:hanging="655"/>
        <w:spacing w:after="0" w:line="264" w:lineRule="auto"/>
        <w:tabs>
          <w:tab w:leader="none" w:pos="13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p>
      <w:pPr>
        <w:spacing w:after="0" w:line="181" w:lineRule="exact"/>
        <w:rPr>
          <w:rFonts w:ascii="Arial" w:cs="Arial" w:eastAsia="Arial" w:hAnsi="Arial"/>
          <w:sz w:val="18"/>
          <w:szCs w:val="18"/>
          <w:color w:val="auto"/>
        </w:rPr>
      </w:pPr>
    </w:p>
    <w:p>
      <w:pPr>
        <w:ind w:left="1300" w:right="480" w:hanging="655"/>
        <w:spacing w:after="0" w:line="277" w:lineRule="auto"/>
        <w:tabs>
          <w:tab w:leader="none" w:pos="130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refrain from taking any action that may have a material adverse impact on the assets, business and liabilities of the Domestic Company;</w:t>
      </w:r>
    </w:p>
    <w:p>
      <w:pPr>
        <w:spacing w:after="0" w:line="170" w:lineRule="exact"/>
        <w:rPr>
          <w:rFonts w:ascii="Arial" w:cs="Arial" w:eastAsia="Arial" w:hAnsi="Arial"/>
          <w:sz w:val="18"/>
          <w:szCs w:val="18"/>
          <w:color w:val="auto"/>
        </w:rPr>
      </w:pPr>
    </w:p>
    <w:p>
      <w:pPr>
        <w:ind w:left="1300" w:hanging="655"/>
        <w:spacing w:after="0" w:line="277" w:lineRule="auto"/>
        <w:tabs>
          <w:tab w:leader="none" w:pos="132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of the Domestic Company (unless otherwise agreed by the Parties);</w:t>
      </w:r>
    </w:p>
    <w:p>
      <w:pPr>
        <w:spacing w:after="0" w:line="170" w:lineRule="exact"/>
        <w:rPr>
          <w:rFonts w:ascii="Arial" w:cs="Arial" w:eastAsia="Arial" w:hAnsi="Arial"/>
          <w:sz w:val="18"/>
          <w:szCs w:val="18"/>
          <w:color w:val="auto"/>
        </w:rPr>
      </w:pPr>
    </w:p>
    <w:p>
      <w:pPr>
        <w:ind w:left="1300" w:right="420" w:hanging="655"/>
        <w:spacing w:after="0" w:line="277" w:lineRule="auto"/>
        <w:tabs>
          <w:tab w:leader="none" w:pos="130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extent permitted by PRC laws, at the request of Lender at any time, promptly and unconditionally transfer all or part of Borrower’s Equity to Lender or Lender’s designated person(s) at any time;</w:t>
      </w:r>
    </w:p>
    <w:p>
      <w:pPr>
        <w:spacing w:after="0" w:line="170" w:lineRule="exact"/>
        <w:rPr>
          <w:rFonts w:ascii="Arial" w:cs="Arial" w:eastAsia="Arial" w:hAnsi="Arial"/>
          <w:sz w:val="18"/>
          <w:szCs w:val="18"/>
          <w:color w:val="auto"/>
        </w:rPr>
      </w:pPr>
    </w:p>
    <w:p>
      <w:pPr>
        <w:ind w:left="1300" w:right="20" w:hanging="655"/>
        <w:spacing w:after="0" w:line="259" w:lineRule="auto"/>
        <w:tabs>
          <w:tab w:leader="none" w:pos="132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strictly abide by the provisions of this Agreement, the Equity Pledge Agreement and any other agreement to which Borrower and Lender are parties, perform his obligations under this Agreement, the Equity Pledge Agreement and any such other agreement, and refrain from taking any action or omit to take any action that may affect the effectiveness and enforceability of this Agreement, the Equity Pledge Agreement and any such other agreement; and</w:t>
      </w:r>
    </w:p>
    <w:p>
      <w:pPr>
        <w:sectPr>
          <w:pgSz w:w="11900" w:h="16838" w:orient="portrait"/>
          <w:cols w:equalWidth="0" w:num="1">
            <w:col w:w="10740"/>
          </w:cols>
          <w:pgMar w:left="900" w:top="125" w:right="259" w:bottom="111" w:gutter="0" w:footer="0" w:header="0"/>
        </w:sectPr>
      </w:pP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88900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125" w:right="259" w:bottom="111" w:gutter="0" w:footer="0" w:header="0"/>
          <w:type w:val="continuous"/>
        </w:sectPr>
      </w:pPr>
    </w:p>
    <w:bookmarkStart w:id="163" w:name="page164"/>
    <w:bookmarkEnd w:id="163"/>
    <w:p>
      <w:pPr>
        <w:spacing w:after="0" w:line="22" w:lineRule="exact"/>
        <w:rPr>
          <w:sz w:val="20"/>
          <w:szCs w:val="20"/>
          <w:color w:val="auto"/>
        </w:rPr>
      </w:pPr>
    </w:p>
    <w:p>
      <w:pPr>
        <w:ind w:left="1960" w:right="420" w:hanging="655"/>
        <w:spacing w:after="0" w:line="277" w:lineRule="auto"/>
        <w:tabs>
          <w:tab w:leader="none" w:pos="196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when Borrower gets married, promptly notify Lender in writing and deliver to Lender the Spousal Consent Letter executed by Borrower’s spouse,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1300" w:right="16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p>
      <w:pPr>
        <w:spacing w:after="0" w:line="181" w:lineRule="exact"/>
        <w:rPr>
          <w:rFonts w:ascii="Arial" w:cs="Arial" w:eastAsia="Arial" w:hAnsi="Arial"/>
          <w:sz w:val="18"/>
          <w:szCs w:val="18"/>
          <w:b w:val="1"/>
          <w:bCs w:val="1"/>
          <w:color w:val="auto"/>
        </w:rPr>
      </w:pPr>
    </w:p>
    <w:p>
      <w:pPr>
        <w:ind w:left="1300" w:right="3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his obligations hereunder.</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6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notices, claims, certificates, requests, demands and other communications under this Agreement shall be made in writing and shall he delivered to either Party hereto by hand or sent by facsimile, or sent, postage prepaid, by reputable overnight courier services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to Lender: NetEase Information Technology (Beijing)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ind w:left="1700"/>
              <w:spacing w:after="0"/>
              <w:rPr>
                <w:sz w:val="20"/>
                <w:szCs w:val="20"/>
                <w:color w:val="auto"/>
              </w:rPr>
            </w:pPr>
            <w:r>
              <w:rPr>
                <w:rFonts w:ascii="Arial" w:cs="Arial" w:eastAsia="Arial" w:hAnsi="Arial"/>
                <w:sz w:val="18"/>
                <w:szCs w:val="18"/>
                <w:color w:val="auto"/>
              </w:rPr>
              <w:t>Address:</w:t>
            </w:r>
          </w:p>
        </w:tc>
        <w:tc>
          <w:tcPr>
            <w:tcW w:w="8380" w:type="dxa"/>
            <w:vAlign w:val="bottom"/>
          </w:tcPr>
          <w:p>
            <w:pPr>
              <w:ind w:left="200"/>
              <w:spacing w:after="0"/>
              <w:rPr>
                <w:sz w:val="20"/>
                <w:szCs w:val="20"/>
                <w:color w:val="auto"/>
              </w:rPr>
            </w:pPr>
            <w:r>
              <w:rPr>
                <w:rFonts w:ascii="Arial" w:cs="Arial" w:eastAsia="Arial" w:hAnsi="Arial"/>
                <w:sz w:val="18"/>
                <w:szCs w:val="18"/>
                <w:color w:val="auto"/>
              </w:rPr>
              <w:t>26/F, SP Tower D</w:t>
            </w:r>
          </w:p>
        </w:tc>
      </w:tr>
      <w:tr>
        <w:trPr>
          <w:trHeight w:val="216"/>
        </w:trPr>
        <w:tc>
          <w:tcPr>
            <w:tcW w:w="308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Tsinghua Science Park Building 8</w:t>
            </w:r>
          </w:p>
        </w:tc>
      </w:tr>
      <w:tr>
        <w:trPr>
          <w:trHeight w:val="216"/>
        </w:trPr>
        <w:tc>
          <w:tcPr>
            <w:tcW w:w="308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No.1 Zhongguancun East Road</w:t>
            </w:r>
          </w:p>
        </w:tc>
      </w:tr>
      <w:tr>
        <w:trPr>
          <w:trHeight w:val="216"/>
        </w:trPr>
        <w:tc>
          <w:tcPr>
            <w:tcW w:w="308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Haidian District</w:t>
            </w:r>
          </w:p>
        </w:tc>
      </w:tr>
      <w:tr>
        <w:trPr>
          <w:trHeight w:val="216"/>
        </w:trPr>
        <w:tc>
          <w:tcPr>
            <w:tcW w:w="308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Beijing 100084</w:t>
            </w:r>
          </w:p>
        </w:tc>
      </w:tr>
      <w:tr>
        <w:trPr>
          <w:trHeight w:val="230"/>
        </w:trPr>
        <w:tc>
          <w:tcPr>
            <w:tcW w:w="308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People’s Republic of China</w:t>
            </w:r>
          </w:p>
        </w:tc>
      </w:tr>
      <w:tr>
        <w:trPr>
          <w:trHeight w:val="432"/>
        </w:trPr>
        <w:tc>
          <w:tcPr>
            <w:tcW w:w="3080" w:type="dxa"/>
            <w:vAlign w:val="bottom"/>
          </w:tcPr>
          <w:p>
            <w:pPr>
              <w:ind w:left="1700"/>
              <w:spacing w:after="0"/>
              <w:rPr>
                <w:sz w:val="20"/>
                <w:szCs w:val="20"/>
                <w:color w:val="auto"/>
              </w:rPr>
            </w:pPr>
            <w:r>
              <w:rPr>
                <w:rFonts w:ascii="Arial" w:cs="Arial" w:eastAsia="Arial" w:hAnsi="Arial"/>
                <w:sz w:val="18"/>
                <w:szCs w:val="18"/>
                <w:color w:val="auto"/>
              </w:rPr>
              <w:t>Fax:</w:t>
            </w:r>
          </w:p>
        </w:tc>
        <w:tc>
          <w:tcPr>
            <w:tcW w:w="8380" w:type="dxa"/>
            <w:vAlign w:val="bottom"/>
          </w:tcPr>
          <w:p>
            <w:pPr>
              <w:ind w:left="200"/>
              <w:spacing w:after="0"/>
              <w:rPr>
                <w:sz w:val="20"/>
                <w:szCs w:val="20"/>
                <w:color w:val="auto"/>
              </w:rPr>
            </w:pPr>
            <w:r>
              <w:rPr>
                <w:rFonts w:ascii="Arial" w:cs="Arial" w:eastAsia="Arial" w:hAnsi="Arial"/>
                <w:sz w:val="18"/>
                <w:szCs w:val="18"/>
                <w:color w:val="auto"/>
              </w:rPr>
              <w:t>(86 10) 82558100, (86 571) 8755 3125</w:t>
            </w:r>
          </w:p>
        </w:tc>
      </w:tr>
      <w:tr>
        <w:trPr>
          <w:trHeight w:val="432"/>
        </w:trPr>
        <w:tc>
          <w:tcPr>
            <w:tcW w:w="3080" w:type="dxa"/>
            <w:vAlign w:val="bottom"/>
          </w:tcPr>
          <w:p>
            <w:pPr>
              <w:ind w:left="1700"/>
              <w:spacing w:after="0"/>
              <w:rPr>
                <w:sz w:val="20"/>
                <w:szCs w:val="20"/>
                <w:color w:val="auto"/>
              </w:rPr>
            </w:pPr>
            <w:r>
              <w:rPr>
                <w:rFonts w:ascii="Arial" w:cs="Arial" w:eastAsia="Arial" w:hAnsi="Arial"/>
                <w:sz w:val="18"/>
                <w:szCs w:val="18"/>
                <w:color w:val="auto"/>
              </w:rPr>
              <w:t>Attention:</w:t>
            </w:r>
          </w:p>
        </w:tc>
        <w:tc>
          <w:tcPr>
            <w:tcW w:w="8380" w:type="dxa"/>
            <w:vAlign w:val="bottom"/>
          </w:tcPr>
          <w:p>
            <w:pPr>
              <w:ind w:left="200"/>
              <w:spacing w:after="0"/>
              <w:rPr>
                <w:sz w:val="20"/>
                <w:szCs w:val="20"/>
                <w:color w:val="auto"/>
              </w:rPr>
            </w:pPr>
            <w:r>
              <w:rPr>
                <w:rFonts w:ascii="Arial" w:cs="Arial" w:eastAsia="Arial" w:hAnsi="Arial"/>
                <w:sz w:val="18"/>
                <w:szCs w:val="18"/>
                <w:color w:val="auto"/>
              </w:rPr>
              <w:t>William Lei Ding</w:t>
            </w:r>
          </w:p>
        </w:tc>
      </w:tr>
      <w:tr>
        <w:trPr>
          <w:trHeight w:val="432"/>
        </w:trPr>
        <w:tc>
          <w:tcPr>
            <w:tcW w:w="3080" w:type="dxa"/>
            <w:vAlign w:val="bottom"/>
          </w:tcPr>
          <w:p>
            <w:pPr>
              <w:ind w:left="660"/>
              <w:spacing w:after="0"/>
              <w:rPr>
                <w:sz w:val="20"/>
                <w:szCs w:val="20"/>
                <w:color w:val="auto"/>
              </w:rPr>
            </w:pPr>
            <w:r>
              <w:rPr>
                <w:rFonts w:ascii="Arial" w:cs="Arial" w:eastAsia="Arial" w:hAnsi="Arial"/>
                <w:sz w:val="18"/>
                <w:szCs w:val="18"/>
                <w:b w:val="1"/>
                <w:bCs w:val="1"/>
                <w:color w:val="auto"/>
              </w:rPr>
              <w:t>If to Borrower: Xiaojun Hui</w:t>
            </w:r>
          </w:p>
        </w:tc>
        <w:tc>
          <w:tcPr>
            <w:tcW w:w="8380" w:type="dxa"/>
            <w:vAlign w:val="bottom"/>
          </w:tcPr>
          <w:p>
            <w:pPr>
              <w:spacing w:after="0"/>
              <w:rPr>
                <w:sz w:val="24"/>
                <w:szCs w:val="24"/>
                <w:color w:val="auto"/>
              </w:rPr>
            </w:pPr>
          </w:p>
        </w:tc>
      </w:tr>
      <w:tr>
        <w:trPr>
          <w:trHeight w:val="432"/>
        </w:trPr>
        <w:tc>
          <w:tcPr>
            <w:tcW w:w="3080" w:type="dxa"/>
            <w:vAlign w:val="bottom"/>
          </w:tcPr>
          <w:p>
            <w:pPr>
              <w:ind w:left="1680"/>
              <w:spacing w:after="0"/>
              <w:rPr>
                <w:sz w:val="20"/>
                <w:szCs w:val="20"/>
                <w:color w:val="auto"/>
              </w:rPr>
            </w:pPr>
            <w:r>
              <w:rPr>
                <w:rFonts w:ascii="Arial" w:cs="Arial" w:eastAsia="Arial" w:hAnsi="Arial"/>
                <w:sz w:val="18"/>
                <w:szCs w:val="18"/>
                <w:color w:val="auto"/>
              </w:rPr>
              <w:t>Address:</w:t>
            </w:r>
          </w:p>
        </w:tc>
        <w:tc>
          <w:tcPr>
            <w:tcW w:w="8380" w:type="dxa"/>
            <w:vAlign w:val="bottom"/>
          </w:tcPr>
          <w:p>
            <w:pPr>
              <w:ind w:left="200"/>
              <w:spacing w:after="0"/>
              <w:rPr>
                <w:sz w:val="20"/>
                <w:szCs w:val="20"/>
                <w:color w:val="auto"/>
              </w:rPr>
            </w:pPr>
            <w:r>
              <w:rPr>
                <w:rFonts w:ascii="Arial" w:cs="Arial" w:eastAsia="Arial" w:hAnsi="Arial"/>
                <w:sz w:val="18"/>
                <w:szCs w:val="18"/>
                <w:color w:val="auto"/>
              </w:rPr>
              <w:t>No.104 Tianhe Road, Tianhe District, Guangzhou, Guangdong, PRC</w:t>
            </w:r>
          </w:p>
        </w:tc>
      </w:tr>
      <w:tr>
        <w:trPr>
          <w:trHeight w:val="432"/>
        </w:trPr>
        <w:tc>
          <w:tcPr>
            <w:tcW w:w="3080" w:type="dxa"/>
            <w:vAlign w:val="bottom"/>
          </w:tcPr>
          <w:p>
            <w:pPr>
              <w:ind w:left="1680"/>
              <w:spacing w:after="0"/>
              <w:rPr>
                <w:sz w:val="20"/>
                <w:szCs w:val="20"/>
                <w:color w:val="auto"/>
              </w:rPr>
            </w:pPr>
            <w:r>
              <w:rPr>
                <w:rFonts w:ascii="Arial" w:cs="Arial" w:eastAsia="Arial" w:hAnsi="Arial"/>
                <w:sz w:val="18"/>
                <w:szCs w:val="18"/>
                <w:color w:val="auto"/>
              </w:rPr>
              <w:t>Fax:</w:t>
            </w:r>
          </w:p>
        </w:tc>
        <w:tc>
          <w:tcPr>
            <w:tcW w:w="8380" w:type="dxa"/>
            <w:vAlign w:val="bottom"/>
          </w:tcPr>
          <w:p>
            <w:pPr>
              <w:ind w:left="200"/>
              <w:spacing w:after="0"/>
              <w:rPr>
                <w:sz w:val="20"/>
                <w:szCs w:val="20"/>
                <w:color w:val="auto"/>
              </w:rPr>
            </w:pPr>
            <w:r>
              <w:rPr>
                <w:rFonts w:ascii="Arial" w:cs="Arial" w:eastAsia="Arial" w:hAnsi="Arial"/>
                <w:sz w:val="18"/>
                <w:szCs w:val="18"/>
                <w:color w:val="auto"/>
              </w:rPr>
              <w:t>(86 20) 8554 0577</w:t>
            </w:r>
          </w:p>
        </w:tc>
      </w:tr>
      <w:tr>
        <w:trPr>
          <w:trHeight w:val="432"/>
        </w:trPr>
        <w:tc>
          <w:tcPr>
            <w:tcW w:w="3080" w:type="dxa"/>
            <w:vAlign w:val="bottom"/>
          </w:tcPr>
          <w:p>
            <w:pPr>
              <w:spacing w:after="0"/>
              <w:rPr>
                <w:sz w:val="24"/>
                <w:szCs w:val="24"/>
                <w:color w:val="auto"/>
              </w:rPr>
            </w:pPr>
          </w:p>
        </w:tc>
        <w:tc>
          <w:tcPr>
            <w:tcW w:w="8380" w:type="dxa"/>
            <w:vAlign w:val="bottom"/>
          </w:tcPr>
          <w:p>
            <w:pPr>
              <w:ind w:left="2580"/>
              <w:spacing w:after="0"/>
              <w:rPr>
                <w:sz w:val="20"/>
                <w:szCs w:val="20"/>
                <w:color w:val="auto"/>
              </w:rPr>
            </w:pPr>
            <w:r>
              <w:rPr>
                <w:rFonts w:ascii="Arial" w:cs="Arial" w:eastAsia="Arial" w:hAnsi="Arial"/>
                <w:sz w:val="18"/>
                <w:szCs w:val="18"/>
                <w:color w:val="auto"/>
              </w:rPr>
              <w:t>7</w:t>
            </w:r>
          </w:p>
        </w:tc>
      </w:tr>
      <w:tr>
        <w:trPr>
          <w:trHeight w:val="132"/>
        </w:trPr>
        <w:tc>
          <w:tcPr>
            <w:tcW w:w="308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2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7.1.The formation, effect,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60" w:hanging="648"/>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submit such dispute to China International Economic and Trade Arbitration Commission (the “CIETAC”) for arbitration in Beijing in accordance with then effective arbitration rules of the CIETAC. The arbitration panel shall consist of three (3) arbitrators who may or may not be on the CIETAC’s list of arbitrators, of which one arbitrator shall be selected by Lender and one arbitrator shall be selected by Borrower. The third arbitrator, who shall be the chairman of the arbitration panel, shall be jointly selected by the two arbitrators selected by the Parties and shall have expertise in the area of the dispute. The arbitration award shall be final and binding on all Parties.</w:t>
      </w:r>
    </w:p>
    <w:p>
      <w:pPr>
        <w:spacing w:after="0" w:line="167" w:lineRule="exact"/>
        <w:rPr>
          <w:rFonts w:ascii="Arial" w:cs="Arial" w:eastAsia="Arial" w:hAnsi="Arial"/>
          <w:sz w:val="18"/>
          <w:szCs w:val="18"/>
          <w:b w:val="1"/>
          <w:bCs w:val="1"/>
          <w:color w:val="auto"/>
        </w:rPr>
      </w:pPr>
    </w:p>
    <w:p>
      <w:pPr>
        <w:ind w:left="1300" w:right="5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6" w:lineRule="exact"/>
        <w:rPr>
          <w:rFonts w:ascii="Arial" w:cs="Arial" w:eastAsia="Arial" w:hAnsi="Arial"/>
          <w:sz w:val="18"/>
          <w:szCs w:val="18"/>
          <w:b w:val="1"/>
          <w:bCs w:val="1"/>
          <w:color w:val="auto"/>
        </w:rPr>
      </w:pPr>
    </w:p>
    <w:p>
      <w:pPr>
        <w:ind w:left="1300" w:right="200" w:hanging="648"/>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7.4.</w:t>
      </w:r>
      <w:r>
        <w:rPr>
          <w:rFonts w:ascii="Arial" w:cs="Arial" w:eastAsia="Arial" w:hAnsi="Arial"/>
          <w:sz w:val="17"/>
          <w:szCs w:val="17"/>
          <w:color w:val="auto"/>
        </w:rPr>
        <w:t>Notwithstanding the foregoing, the Parties agree that either of them may seek interim measures including property preservation in relation to the provisions of this, agreement or the Parties’ performance of it from any court of competent jurisdiction (including the courts of the Domestic Company’s place of incorporation and the place where the Domestic Company’s principal assets are located, the courts of Hong Kong and the Cayman Islands (to the extent permitted under the PRC law)).</w:t>
      </w:r>
    </w:p>
    <w:p>
      <w:pPr>
        <w:sectPr>
          <w:pgSz w:w="11900" w:h="16860" w:orient="portrait"/>
          <w:cols w:equalWidth="0" w:num="1">
            <w:col w:w="11460"/>
          </w:cols>
          <w:pgMar w:left="240" w:top="342" w:right="199" w:bottom="0" w:gutter="0" w:footer="0" w:header="0"/>
        </w:sectPr>
      </w:pPr>
    </w:p>
    <w:bookmarkStart w:id="164" w:name="page165"/>
    <w:bookmarkEnd w:id="164"/>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7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8.1.This Agreement shall become effective on the date hereof,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ind w:left="1300" w:right="80" w:hanging="648"/>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rFonts w:ascii="Arial" w:cs="Arial" w:eastAsia="Arial" w:hAnsi="Arial"/>
          <w:sz w:val="18"/>
          <w:szCs w:val="18"/>
          <w:b w:val="1"/>
          <w:bCs w:val="1"/>
          <w:color w:val="auto"/>
        </w:rPr>
      </w:pPr>
    </w:p>
    <w:p>
      <w:pPr>
        <w:ind w:left="1300" w:right="160" w:hanging="648"/>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8.4.</w:t>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46" w:lineRule="exact"/>
        <w:rPr>
          <w:rFonts w:ascii="Arial" w:cs="Arial" w:eastAsia="Arial" w:hAnsi="Arial"/>
          <w:sz w:val="18"/>
          <w:szCs w:val="18"/>
          <w:b w:val="1"/>
          <w:bCs w:val="1"/>
          <w:color w:val="auto"/>
        </w:rPr>
      </w:pPr>
    </w:p>
    <w:p>
      <w:pPr>
        <w:ind w:left="1300" w:right="14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8.5.If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right"/>
              <w:ind w:right="150"/>
              <w:spacing w:after="0"/>
              <w:rPr>
                <w:sz w:val="20"/>
                <w:szCs w:val="20"/>
                <w:color w:val="auto"/>
              </w:rPr>
            </w:pPr>
            <w:r>
              <w:rPr>
                <w:rFonts w:ascii="Arial" w:cs="Arial" w:eastAsia="Arial" w:hAnsi="Arial"/>
                <w:sz w:val="18"/>
                <w:szCs w:val="18"/>
                <w:b w:val="1"/>
                <w:bCs w:val="1"/>
                <w:color w:val="auto"/>
              </w:rPr>
              <w:t>Lender:</w:t>
            </w:r>
          </w:p>
        </w:tc>
        <w:tc>
          <w:tcPr>
            <w:tcW w:w="580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NetEase Information Technology (Beijing) Co., Ltd. (seal)</w:t>
            </w:r>
          </w:p>
        </w:tc>
        <w:tc>
          <w:tcPr>
            <w:tcW w:w="40" w:type="dxa"/>
            <w:vAlign w:val="bottom"/>
          </w:tcPr>
          <w:p>
            <w:pPr>
              <w:spacing w:after="0"/>
              <w:rPr>
                <w:sz w:val="20"/>
                <w:szCs w:val="20"/>
                <w:color w:val="auto"/>
              </w:rPr>
            </w:pPr>
          </w:p>
        </w:tc>
      </w:tr>
      <w:tr>
        <w:trPr>
          <w:trHeight w:val="648"/>
        </w:trPr>
        <w:tc>
          <w:tcPr>
            <w:tcW w:w="5620" w:type="dxa"/>
            <w:vAlign w:val="bottom"/>
          </w:tcPr>
          <w:p>
            <w:pPr>
              <w:spacing w:after="0"/>
              <w:rPr>
                <w:sz w:val="24"/>
                <w:szCs w:val="24"/>
                <w:color w:val="auto"/>
              </w:rPr>
            </w:pPr>
          </w:p>
        </w:tc>
        <w:tc>
          <w:tcPr>
            <w:tcW w:w="800" w:type="dxa"/>
            <w:vAlign w:val="bottom"/>
            <w:gridSpan w:val="3"/>
          </w:tcPr>
          <w:p>
            <w:pPr>
              <w:ind w:left="240"/>
              <w:spacing w:after="0"/>
              <w:rPr>
                <w:sz w:val="20"/>
                <w:szCs w:val="20"/>
                <w:color w:val="auto"/>
              </w:rPr>
            </w:pPr>
            <w:r>
              <w:rPr>
                <w:rFonts w:ascii="Arial" w:cs="Arial" w:eastAsia="Arial" w:hAnsi="Arial"/>
                <w:sz w:val="18"/>
                <w:szCs w:val="18"/>
                <w:color w:val="auto"/>
              </w:rPr>
              <w:t>By:</w:t>
            </w:r>
          </w:p>
        </w:tc>
        <w:tc>
          <w:tcPr>
            <w:tcW w:w="5000" w:type="dxa"/>
            <w:vAlign w:val="bottom"/>
          </w:tcPr>
          <w:p>
            <w:pPr>
              <w:ind w:left="120"/>
              <w:spacing w:after="0"/>
              <w:rPr>
                <w:sz w:val="20"/>
                <w:szCs w:val="20"/>
                <w:color w:val="auto"/>
              </w:rPr>
            </w:pPr>
            <w:r>
              <w:rPr>
                <w:rFonts w:ascii="Arial" w:cs="Arial" w:eastAsia="Arial" w:hAnsi="Arial"/>
                <w:sz w:val="18"/>
                <w:szCs w:val="18"/>
                <w:color w:val="auto"/>
              </w:rPr>
              <w:t>/s/ William Lei Ding</w:t>
            </w:r>
          </w:p>
        </w:tc>
        <w:tc>
          <w:tcPr>
            <w:tcW w:w="40" w:type="dxa"/>
            <w:vAlign w:val="bottom"/>
          </w:tcPr>
          <w:p>
            <w:pPr>
              <w:spacing w:after="0"/>
              <w:rPr>
                <w:sz w:val="24"/>
                <w:szCs w:val="24"/>
                <w:color w:val="auto"/>
              </w:rPr>
            </w:pPr>
          </w:p>
        </w:tc>
      </w:tr>
      <w:tr>
        <w:trPr>
          <w:trHeight w:val="182"/>
        </w:trPr>
        <w:tc>
          <w:tcPr>
            <w:tcW w:w="5620" w:type="dxa"/>
            <w:vAlign w:val="bottom"/>
          </w:tcPr>
          <w:p>
            <w:pPr>
              <w:spacing w:after="0"/>
              <w:rPr>
                <w:sz w:val="15"/>
                <w:szCs w:val="15"/>
                <w:color w:val="auto"/>
              </w:rPr>
            </w:pPr>
          </w:p>
        </w:tc>
        <w:tc>
          <w:tcPr>
            <w:tcW w:w="660" w:type="dxa"/>
            <w:vAlign w:val="bottom"/>
            <w:gridSpan w:val="2"/>
          </w:tcPr>
          <w:p>
            <w:pPr>
              <w:ind w:left="240"/>
              <w:spacing w:after="0" w:line="182" w:lineRule="exact"/>
              <w:rPr>
                <w:sz w:val="20"/>
                <w:szCs w:val="20"/>
                <w:color w:val="auto"/>
              </w:rPr>
            </w:pPr>
            <w:r>
              <w:rPr>
                <w:rFonts w:ascii="Arial" w:cs="Arial" w:eastAsia="Arial" w:hAnsi="Arial"/>
                <w:sz w:val="18"/>
                <w:szCs w:val="18"/>
                <w:color w:val="auto"/>
                <w:w w:val="75"/>
              </w:rPr>
              <w:t>Name:</w:t>
            </w:r>
          </w:p>
        </w:tc>
        <w:tc>
          <w:tcPr>
            <w:tcW w:w="140" w:type="dxa"/>
            <w:vAlign w:val="bottom"/>
            <w:tcBorders>
              <w:top w:val="single" w:sz="8" w:color="auto"/>
            </w:tcBorders>
          </w:tcPr>
          <w:p>
            <w:pPr>
              <w:spacing w:after="0"/>
              <w:rPr>
                <w:sz w:val="15"/>
                <w:szCs w:val="15"/>
                <w:color w:val="auto"/>
              </w:rPr>
            </w:pPr>
          </w:p>
        </w:tc>
        <w:tc>
          <w:tcPr>
            <w:tcW w:w="50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620" w:type="dxa"/>
            <w:vAlign w:val="bottom"/>
          </w:tcPr>
          <w:p>
            <w:pPr>
              <w:spacing w:after="0"/>
              <w:rPr>
                <w:sz w:val="20"/>
                <w:szCs w:val="20"/>
                <w:color w:val="auto"/>
              </w:rPr>
            </w:pPr>
          </w:p>
        </w:tc>
        <w:tc>
          <w:tcPr>
            <w:tcW w:w="800" w:type="dxa"/>
            <w:vAlign w:val="bottom"/>
            <w:gridSpan w:val="3"/>
          </w:tcPr>
          <w:p>
            <w:pPr>
              <w:ind w:left="24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620" w:type="dxa"/>
            <w:vAlign w:val="bottom"/>
          </w:tcPr>
          <w:p>
            <w:pPr>
              <w:jc w:val="right"/>
              <w:ind w:right="150"/>
              <w:spacing w:after="0"/>
              <w:rPr>
                <w:sz w:val="20"/>
                <w:szCs w:val="20"/>
                <w:color w:val="auto"/>
              </w:rPr>
            </w:pPr>
            <w:r>
              <w:rPr>
                <w:rFonts w:ascii="Arial" w:cs="Arial" w:eastAsia="Arial" w:hAnsi="Arial"/>
                <w:sz w:val="18"/>
                <w:szCs w:val="18"/>
                <w:b w:val="1"/>
                <w:bCs w:val="1"/>
                <w:color w:val="auto"/>
              </w:rPr>
              <w:t>Borrower:</w:t>
            </w:r>
          </w:p>
        </w:tc>
        <w:tc>
          <w:tcPr>
            <w:tcW w:w="5800" w:type="dxa"/>
            <w:vAlign w:val="bottom"/>
            <w:gridSpan w:val="4"/>
          </w:tcPr>
          <w:p>
            <w:pPr>
              <w:ind w:left="240"/>
              <w:spacing w:after="0"/>
              <w:rPr>
                <w:sz w:val="20"/>
                <w:szCs w:val="20"/>
                <w:color w:val="auto"/>
              </w:rPr>
            </w:pPr>
            <w:r>
              <w:rPr>
                <w:rFonts w:ascii="Arial" w:cs="Arial" w:eastAsia="Arial" w:hAnsi="Arial"/>
                <w:sz w:val="18"/>
                <w:szCs w:val="18"/>
                <w:b w:val="1"/>
                <w:bCs w:val="1"/>
                <w:color w:val="auto"/>
              </w:rPr>
              <w:t>Xiaojun Hui</w:t>
            </w:r>
          </w:p>
        </w:tc>
        <w:tc>
          <w:tcPr>
            <w:tcW w:w="40" w:type="dxa"/>
            <w:vAlign w:val="bottom"/>
          </w:tcPr>
          <w:p>
            <w:pPr>
              <w:spacing w:after="0"/>
              <w:rPr>
                <w:sz w:val="24"/>
                <w:szCs w:val="24"/>
                <w:color w:val="auto"/>
              </w:rPr>
            </w:pPr>
          </w:p>
        </w:tc>
      </w:tr>
      <w:tr>
        <w:trPr>
          <w:trHeight w:val="432"/>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Xiaojun Hui</w:t>
            </w:r>
          </w:p>
        </w:tc>
        <w:tc>
          <w:tcPr>
            <w:tcW w:w="40" w:type="dxa"/>
            <w:vAlign w:val="bottom"/>
          </w:tcPr>
          <w:p>
            <w:pPr>
              <w:spacing w:after="0"/>
              <w:rPr>
                <w:sz w:val="24"/>
                <w:szCs w:val="24"/>
                <w:color w:val="auto"/>
              </w:rPr>
            </w:pPr>
          </w:p>
        </w:tc>
      </w:tr>
      <w:tr>
        <w:trPr>
          <w:trHeight w:val="341"/>
        </w:trPr>
        <w:tc>
          <w:tcPr>
            <w:tcW w:w="56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0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SUPPLEMENTAL AGREEMENT TO 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SUPPLEMENTAL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Supplemental Agreement</w:t>
      </w:r>
      <w:r>
        <w:rPr>
          <w:rFonts w:ascii="Arial" w:cs="Arial" w:eastAsia="Arial" w:hAnsi="Arial"/>
          <w:sz w:val="17"/>
          <w:szCs w:val="17"/>
          <w:color w:val="auto"/>
        </w:rPr>
        <w:t>”)to that certain Loan Agreement dated ______________ (as the same may be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amended and supplemented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___________________ by and between NetEase Information</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Technology (Beijing) Co., Ltd. (“</w:t>
      </w:r>
      <w:r>
        <w:rPr>
          <w:rFonts w:ascii="Arial" w:cs="Arial" w:eastAsia="Arial" w:hAnsi="Arial"/>
          <w:sz w:val="18"/>
          <w:szCs w:val="18"/>
          <w:b w:val="1"/>
          <w:bCs w:val="1"/>
          <w:color w:val="auto"/>
        </w:rPr>
        <w:t>Lender</w:t>
      </w:r>
      <w:r>
        <w:rPr>
          <w:rFonts w:ascii="Arial" w:cs="Arial" w:eastAsia="Arial" w:hAnsi="Arial"/>
          <w:sz w:val="18"/>
          <w:szCs w:val="18"/>
          <w:color w:val="auto"/>
        </w:rPr>
        <w:t>”), a wholly foreign-owned enterprise incorporated in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and Xiaojun Hui (“</w:t>
      </w:r>
      <w:r>
        <w:rPr>
          <w:rFonts w:ascii="Arial" w:cs="Arial" w:eastAsia="Arial" w:hAnsi="Arial"/>
          <w:sz w:val="18"/>
          <w:szCs w:val="18"/>
          <w:b w:val="1"/>
          <w:bCs w:val="1"/>
          <w:color w:val="auto"/>
        </w:rPr>
        <w:t>Borrower</w:t>
      </w:r>
      <w:r>
        <w:rPr>
          <w:rFonts w:ascii="Arial" w:cs="Arial" w:eastAsia="Arial" w:hAnsi="Arial"/>
          <w:sz w:val="18"/>
          <w:szCs w:val="18"/>
          <w:color w:val="auto"/>
        </w:rPr>
        <w:t>”), a citizen of the PRC and owner of 1% of the equity interests of Guangzhou NetEase Computer System Co., Ltd. (the “</w:t>
      </w:r>
      <w:r>
        <w:rPr>
          <w:rFonts w:ascii="Arial" w:cs="Arial" w:eastAsia="Arial" w:hAnsi="Arial"/>
          <w:sz w:val="18"/>
          <w:szCs w:val="18"/>
          <w:b w:val="1"/>
          <w:bCs w:val="1"/>
          <w:color w:val="auto"/>
        </w:rPr>
        <w:t>DomesticCompany</w:t>
      </w:r>
      <w:r>
        <w:rPr>
          <w:rFonts w:ascii="Arial" w:cs="Arial" w:eastAsia="Arial" w:hAnsi="Arial"/>
          <w:sz w:val="18"/>
          <w:szCs w:val="18"/>
          <w:color w:val="auto"/>
        </w:rPr>
        <w:t>”). Lender and Borrower are hereinafter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 Capitalized terms used herein and not otherwise defined shall have the respective meanings assigned to them in the Agreement.</w:t>
      </w:r>
    </w:p>
    <w:p>
      <w:pPr>
        <w:spacing w:after="0" w:line="18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supplement the Agreement in connection with the extension of a new loan from Lender to Borrower in connection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registered capital], as herein provided.</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and subject to the terms and conditions herein set forth,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Agreement is hereby amended and supplemented as follows:</w:t>
      </w:r>
    </w:p>
    <w:p>
      <w:pPr>
        <w:spacing w:after="0" w:line="162" w:lineRule="exact"/>
        <w:rPr>
          <w:sz w:val="20"/>
          <w:szCs w:val="20"/>
          <w:color w:val="auto"/>
        </w:rPr>
      </w:pPr>
    </w:p>
    <w:p>
      <w:pPr>
        <w:ind w:left="660" w:right="500" w:hanging="652"/>
        <w:spacing w:after="0" w:line="282"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Lender agrees to provide an additional loan to Borrower with an aggregate principal amount of RMB ___________________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Borrower confirms that he has received the total amount of the Additional Loan and [has invested it into the Domestic Company as an additional capital contribution].</w:t>
      </w:r>
    </w:p>
    <w:p>
      <w:pPr>
        <w:spacing w:after="0" w:line="170" w:lineRule="exact"/>
        <w:rPr>
          <w:rFonts w:ascii="Arial" w:cs="Arial" w:eastAsia="Arial" w:hAnsi="Arial"/>
          <w:sz w:val="18"/>
          <w:szCs w:val="18"/>
          <w:color w:val="auto"/>
        </w:rPr>
      </w:pPr>
    </w:p>
    <w:p>
      <w:pPr>
        <w:ind w:left="660" w:right="220" w:hanging="652"/>
        <w:spacing w:after="0" w:line="342" w:lineRule="auto"/>
        <w:tabs>
          <w:tab w:leader="none" w:pos="66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w:t>
      </w:r>
    </w:p>
    <w:p>
      <w:pPr>
        <w:sectPr>
          <w:pgSz w:w="11900" w:h="16840" w:orient="portrait"/>
          <w:cols w:equalWidth="0" w:num="1">
            <w:col w:w="11460"/>
          </w:cols>
          <w:pgMar w:left="240" w:top="341" w:right="199" w:bottom="0" w:gutter="0" w:footer="0" w:header="0"/>
        </w:sectPr>
      </w:pPr>
    </w:p>
    <w:bookmarkStart w:id="165" w:name="page166"/>
    <w:bookmarkEnd w:id="165"/>
    <w:p>
      <w:pPr>
        <w:ind w:left="660"/>
        <w:spacing w:after="0"/>
        <w:rPr>
          <w:sz w:val="20"/>
          <w:szCs w:val="20"/>
          <w:color w:val="auto"/>
        </w:rPr>
      </w:pPr>
      <w:r>
        <w:rPr>
          <w:rFonts w:ascii="Arial" w:cs="Arial" w:eastAsia="Arial" w:hAnsi="Arial"/>
          <w:sz w:val="18"/>
          <w:szCs w:val="18"/>
          <w:color w:val="auto"/>
        </w:rPr>
        <w:t>shall be the same as the term of the Loan as specified in the Agreement.</w:t>
      </w:r>
    </w:p>
    <w:p>
      <w:pPr>
        <w:spacing w:after="0" w:line="225" w:lineRule="exact"/>
        <w:rPr>
          <w:sz w:val="20"/>
          <w:szCs w:val="20"/>
          <w:color w:val="auto"/>
        </w:rPr>
      </w:pPr>
    </w:p>
    <w:p>
      <w:pPr>
        <w:ind w:left="660" w:right="580" w:hanging="652"/>
        <w:spacing w:after="0" w:line="342" w:lineRule="auto"/>
        <w:tabs>
          <w:tab w:leader="none" w:pos="6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Articles 6, 7 and 8 of the Agreement are hereby incorporated into this Supplemental Agreement by this reference.</w:t>
      </w:r>
    </w:p>
    <w:p>
      <w:pPr>
        <w:spacing w:after="0" w:line="225"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660" w:hanging="652"/>
        <w:spacing w:after="0"/>
        <w:tabs>
          <w:tab w:leader="none" w:pos="6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48" w:lineRule="exact"/>
        <w:rPr>
          <w:rFonts w:ascii="Arial" w:cs="Arial" w:eastAsia="Arial" w:hAnsi="Arial"/>
          <w:sz w:val="16"/>
          <w:szCs w:val="16"/>
          <w:color w:val="auto"/>
        </w:rPr>
      </w:pPr>
    </w:p>
    <w:p>
      <w:pPr>
        <w:ind w:left="660" w:right="440" w:hanging="652"/>
        <w:spacing w:after="0" w:line="277"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-956310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Supplemental Agreement has been signed by the Parties hereto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6"/>
          <w:szCs w:val="16"/>
          <w:b w:val="1"/>
          <w:bCs w:val="1"/>
          <w:color w:val="auto"/>
        </w:rPr>
        <w:t>Lender:</w:t>
      </w:r>
      <w:r>
        <w:rPr>
          <w:sz w:val="20"/>
          <w:szCs w:val="20"/>
          <w:color w:val="auto"/>
        </w:rPr>
        <w:tab/>
      </w:r>
      <w:r>
        <w:rPr>
          <w:rFonts w:ascii="Arial" w:cs="Arial" w:eastAsia="Arial" w:hAnsi="Arial"/>
          <w:sz w:val="16"/>
          <w:szCs w:val="16"/>
          <w:b w:val="1"/>
          <w:bCs w:val="1"/>
          <w:color w:val="auto"/>
        </w:rPr>
        <w:t>NetEase Information Technology (Beijing) Co., Ltd. (seal)</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-130810</wp:posOffset>
            </wp:positionV>
            <wp:extent cx="24098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b w:val="1"/>
          <w:bCs w:val="1"/>
          <w:color w:val="auto"/>
        </w:rPr>
        <w:t>Xiaojun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429260</wp:posOffset>
            </wp:positionV>
            <wp:extent cx="28898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641350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SPOUSAL CONSENT LETTER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_____________________ (ID Card No.: _______________________), am the lawful spouse ofXiaojun Hui (ID Card No.: ________________________).</w:t>
      </w:r>
    </w:p>
    <w:p>
      <w:pPr>
        <w:spacing w:after="0" w:line="46"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 hereby unconditionally consent and agree that the disposition of the equity interest in Guangzhou NetEase Computer System Co., Ltd. which is held by and registered under the name of my spouse will be made pursuant to the arrangements under the Loan Agreement dated _________________, the Equity Pledge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________________, the Operating Agreement dated May 10, 2000 (as amended and novated on ________________), all of which were</w:t>
      </w:r>
    </w:p>
    <w:p>
      <w:pPr>
        <w:spacing w:after="0" w:line="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executed by my spouse as a party, and any other supplemental or related agreement(s) or amendments thereof that may be entered into by my spouse from time to time.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36277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Equity Pledge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May 1, 2014:</w:t>
      </w:r>
    </w:p>
    <w:p>
      <w:pPr>
        <w:spacing w:after="0" w:line="225" w:lineRule="exact"/>
        <w:rPr>
          <w:sz w:val="20"/>
          <w:szCs w:val="20"/>
          <w:color w:val="auto"/>
        </w:rPr>
      </w:pPr>
    </w:p>
    <w:p>
      <w:pPr>
        <w:ind w:left="1300" w:right="220" w:hanging="644"/>
        <w:spacing w:after="0" w:line="266" w:lineRule="auto"/>
        <w:tabs>
          <w:tab w:leader="none" w:pos="1307"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NetEaseInformation Technology (Beijing) Co., Ltd. </w:t>
      </w:r>
      <w:r>
        <w:rPr>
          <w:rFonts w:ascii="Arial" w:cs="Arial" w:eastAsia="Arial" w:hAnsi="Arial"/>
          <w:sz w:val="18"/>
          <w:szCs w:val="18"/>
          <w:color w:val="auto"/>
        </w:rPr>
        <w:t>(the “</w:t>
      </w:r>
      <w:r>
        <w:rPr>
          <w:rFonts w:ascii="Arial" w:cs="Arial" w:eastAsia="Arial" w:hAnsi="Arial"/>
          <w:sz w:val="18"/>
          <w:szCs w:val="18"/>
          <w:b w:val="1"/>
          <w:bCs w:val="1"/>
          <w:color w:val="auto"/>
        </w:rPr>
        <w:t>Pledgee</w:t>
      </w:r>
      <w:r>
        <w:rPr>
          <w:rFonts w:ascii="Arial" w:cs="Arial" w:eastAsia="Arial" w:hAnsi="Arial"/>
          <w:sz w:val="18"/>
          <w:szCs w:val="18"/>
          <w:color w:val="auto"/>
        </w:rPr>
        <w:t>”), a wholly foreign owned enterprise registered in Beijing, People’s</w:t>
      </w:r>
      <w:r>
        <w:rPr>
          <w:rFonts w:ascii="Arial" w:cs="Arial" w:eastAsia="Arial" w:hAnsi="Arial"/>
          <w:sz w:val="18"/>
          <w:szCs w:val="18"/>
          <w:b w:val="1"/>
          <w:bCs w:val="1"/>
          <w:color w:val="auto"/>
        </w:rPr>
        <w:t xml:space="preserve"> </w:t>
      </w:r>
      <w:r>
        <w:rPr>
          <w:rFonts w:ascii="Arial" w:cs="Arial" w:eastAsia="Arial" w:hAnsi="Arial"/>
          <w:sz w:val="18"/>
          <w:szCs w:val="18"/>
          <w:color w:val="auto"/>
        </w:rPr>
        <w:t>Republic of China (“</w:t>
      </w:r>
      <w:r>
        <w:rPr>
          <w:rFonts w:ascii="Arial" w:cs="Arial" w:eastAsia="Arial" w:hAnsi="Arial"/>
          <w:sz w:val="18"/>
          <w:szCs w:val="18"/>
          <w:b w:val="1"/>
          <w:bCs w:val="1"/>
          <w:color w:val="auto"/>
        </w:rPr>
        <w:t>PRC</w:t>
      </w:r>
      <w:r>
        <w:rPr>
          <w:rFonts w:ascii="Arial" w:cs="Arial" w:eastAsia="Arial" w:hAnsi="Arial"/>
          <w:sz w:val="18"/>
          <w:szCs w:val="18"/>
          <w:color w:val="auto"/>
        </w:rPr>
        <w:t>”) with its addressat 26/F, SP Tower D, Tsinghua Science Park Building 8, No.1 Zhongguancun East Road, Haidian District, Beijing 100084, PRC; and</w:t>
      </w:r>
    </w:p>
    <w:p>
      <w:pPr>
        <w:spacing w:after="0" w:line="176" w:lineRule="exact"/>
        <w:rPr>
          <w:rFonts w:ascii="Arial" w:cs="Arial" w:eastAsia="Arial" w:hAnsi="Arial"/>
          <w:sz w:val="18"/>
          <w:szCs w:val="18"/>
          <w:color w:val="auto"/>
        </w:rPr>
      </w:pPr>
    </w:p>
    <w:p>
      <w:pPr>
        <w:ind w:left="1300" w:right="120" w:hanging="644"/>
        <w:spacing w:after="0" w:line="282" w:lineRule="auto"/>
        <w:tabs>
          <w:tab w:leader="none" w:pos="1307"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Xiaojun Hui </w:t>
      </w:r>
      <w:r>
        <w:rPr>
          <w:rFonts w:ascii="Arial" w:cs="Arial" w:eastAsia="Arial" w:hAnsi="Arial"/>
          <w:sz w:val="18"/>
          <w:szCs w:val="18"/>
          <w:color w:val="auto"/>
        </w:rPr>
        <w:t>(ID Number: 622101197708150778, the “</w:t>
      </w:r>
      <w:r>
        <w:rPr>
          <w:rFonts w:ascii="Arial" w:cs="Arial" w:eastAsia="Arial" w:hAnsi="Arial"/>
          <w:sz w:val="18"/>
          <w:szCs w:val="18"/>
          <w:b w:val="1"/>
          <w:bCs w:val="1"/>
          <w:color w:val="auto"/>
        </w:rPr>
        <w:t>Pledgor</w:t>
      </w:r>
      <w:r>
        <w:rPr>
          <w:rFonts w:ascii="Arial" w:cs="Arial" w:eastAsia="Arial" w:hAnsi="Arial"/>
          <w:sz w:val="18"/>
          <w:szCs w:val="18"/>
          <w:color w:val="auto"/>
        </w:rPr>
        <w:t>”), a PRC citizen with his address at No.104 Tianhe Road, Tianhe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Guangzhou, Guangdong, PRC.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Pledgee and the Pledgor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right="180" w:hanging="644"/>
        <w:spacing w:after="0" w:line="259" w:lineRule="auto"/>
        <w:tabs>
          <w:tab w:leader="none" w:pos="13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Pledgor is a registered shareholder of Guangzhou NetEase Computer System Co., Ltd., a limited liability company registered in Guangzhou, PRC with its address at 702A, No. 59 Jianzhong Road, Tianhe District, Guangzhou, Guangdong, PRC (the “</w:t>
      </w:r>
      <w:r>
        <w:rPr>
          <w:rFonts w:ascii="Arial" w:cs="Arial" w:eastAsia="Arial" w:hAnsi="Arial"/>
          <w:sz w:val="18"/>
          <w:szCs w:val="18"/>
          <w:b w:val="1"/>
          <w:bCs w:val="1"/>
          <w:color w:val="auto"/>
        </w:rPr>
        <w:t>Domestic</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and holds 1% of the equity interests in the Domestic Company. The equity structure of Domestic Company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of this Agreement is set forth in </w:t>
      </w:r>
      <w:r>
        <w:rPr>
          <w:rFonts w:ascii="Arial" w:cs="Arial" w:eastAsia="Arial" w:hAnsi="Arial"/>
          <w:sz w:val="18"/>
          <w:szCs w:val="18"/>
          <w:u w:val="single" w:color="auto"/>
          <w:color w:val="auto"/>
        </w:rPr>
        <w:t>Appendix 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00" w:right="260" w:hanging="644"/>
        <w:spacing w:after="0" w:line="264" w:lineRule="auto"/>
        <w:tabs>
          <w:tab w:leader="none" w:pos="131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Pursuant to a Loan Agreement dated May 1, 2014 between the Pledgee and the Pledgor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Pledgee has provided a loan to the Pledgor in the original principal amount of RMB 200,000 Yuan.</w:t>
      </w:r>
    </w:p>
    <w:p>
      <w:pPr>
        <w:spacing w:after="0" w:line="181" w:lineRule="exact"/>
        <w:rPr>
          <w:rFonts w:ascii="Arial" w:cs="Arial" w:eastAsia="Arial" w:hAnsi="Arial"/>
          <w:sz w:val="18"/>
          <w:szCs w:val="18"/>
          <w:color w:val="auto"/>
        </w:rPr>
      </w:pPr>
    </w:p>
    <w:p>
      <w:pPr>
        <w:ind w:left="1300" w:right="180" w:hanging="644"/>
        <w:spacing w:after="0" w:line="259" w:lineRule="auto"/>
        <w:tabs>
          <w:tab w:leader="none" w:pos="131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Pursuant to a Shareholder Voting Right Trust Agreement as novated on May 1, 2014 among the Pledgee, the Pledgor, the Domestic Company and the other Parties thereto (as amended and novated from time to time,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the Pledgor has irrevocably appointed the Pledgee as proxy and vested the Pledgee with full power to exercise on his behalf all of his shareholder’s voting rights in respect of the Domestic Company.</w:t>
      </w:r>
    </w:p>
    <w:p>
      <w:pPr>
        <w:spacing w:after="0" w:line="186" w:lineRule="exact"/>
        <w:rPr>
          <w:rFonts w:ascii="Arial" w:cs="Arial" w:eastAsia="Arial" w:hAnsi="Arial"/>
          <w:sz w:val="18"/>
          <w:szCs w:val="18"/>
          <w:color w:val="auto"/>
        </w:rPr>
      </w:pPr>
    </w:p>
    <w:p>
      <w:pPr>
        <w:jc w:val="both"/>
        <w:ind w:left="1300" w:right="300" w:hanging="644"/>
        <w:spacing w:after="0" w:line="264" w:lineRule="auto"/>
        <w:tabs>
          <w:tab w:leader="none" w:pos="13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jc w:val="right"/>
        <w:ind w:left="1300" w:right="1980" w:hanging="648"/>
        <w:spacing w:after="0" w:line="56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 xml:space="preserve">Unless the context otherwise requires, the following terms in this Agreement shall have the following meanings: </w:t>
      </w:r>
      <w:r>
        <w:rPr>
          <w:rFonts w:ascii="Arial" w:cs="Arial" w:eastAsia="Arial" w:hAnsi="Arial"/>
          <w:sz w:val="16"/>
          <w:szCs w:val="16"/>
          <w:b w:val="1"/>
          <w:bCs w:val="1"/>
          <w:color w:val="auto"/>
        </w:rPr>
        <w:t xml:space="preserve">“Breaching Event” </w:t>
      </w:r>
      <w:r>
        <w:rPr>
          <w:rFonts w:ascii="Arial" w:cs="Arial" w:eastAsia="Arial" w:hAnsi="Arial"/>
          <w:sz w:val="16"/>
          <w:szCs w:val="16"/>
          <w:color w:val="auto"/>
        </w:rPr>
        <w:t>shall mean any breach by the Pledgor of any of his Contract Obligations (as defined below).</w:t>
      </w:r>
    </w:p>
    <w:p>
      <w:pPr>
        <w:ind w:left="1300"/>
        <w:spacing w:after="0" w:line="266" w:lineRule="auto"/>
        <w:rPr>
          <w:sz w:val="20"/>
          <w:szCs w:val="20"/>
          <w:color w:val="auto"/>
        </w:rPr>
      </w:pPr>
      <w:r>
        <w:rPr>
          <w:rFonts w:ascii="Arial" w:cs="Arial" w:eastAsia="Arial" w:hAnsi="Arial"/>
          <w:sz w:val="18"/>
          <w:szCs w:val="18"/>
          <w:b w:val="1"/>
          <w:bCs w:val="1"/>
          <w:color w:val="auto"/>
        </w:rPr>
        <w:t xml:space="preserve">“Contract Obligations” </w:t>
      </w:r>
      <w:r>
        <w:rPr>
          <w:rFonts w:ascii="Arial" w:cs="Arial" w:eastAsia="Arial" w:hAnsi="Arial"/>
          <w:sz w:val="18"/>
          <w:szCs w:val="18"/>
          <w:color w:val="auto"/>
        </w:rPr>
        <w:t>shall mean the obligations of the Pledgor to repay the Loan (as defined in the Loan Agreement)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contractual obligations of the Pledgor under the Voting Trust Agreement, and all contractual obligations of the Pledgor under this Agreement.</w:t>
      </w:r>
    </w:p>
    <w:p>
      <w:pPr>
        <w:spacing w:after="0" w:line="176" w:lineRule="exact"/>
        <w:rPr>
          <w:sz w:val="20"/>
          <w:szCs w:val="20"/>
          <w:color w:val="auto"/>
        </w:rPr>
      </w:pPr>
    </w:p>
    <w:p>
      <w:pPr>
        <w:jc w:val="both"/>
        <w:ind w:left="1300" w:right="100"/>
        <w:spacing w:after="0" w:line="266" w:lineRule="auto"/>
        <w:rPr>
          <w:sz w:val="20"/>
          <w:szCs w:val="20"/>
          <w:color w:val="auto"/>
        </w:rPr>
      </w:pPr>
      <w:r>
        <w:rPr>
          <w:rFonts w:ascii="Arial" w:cs="Arial" w:eastAsia="Arial" w:hAnsi="Arial"/>
          <w:sz w:val="18"/>
          <w:szCs w:val="18"/>
          <w:b w:val="1"/>
          <w:bCs w:val="1"/>
          <w:color w:val="auto"/>
        </w:rPr>
        <w:t xml:space="preserve">“Pledged Equity” </w:t>
      </w:r>
      <w:r>
        <w:rPr>
          <w:rFonts w:ascii="Arial" w:cs="Arial" w:eastAsia="Arial" w:hAnsi="Arial"/>
          <w:sz w:val="18"/>
          <w:szCs w:val="18"/>
          <w:color w:val="auto"/>
        </w:rPr>
        <w:t>shall mean all of the equity interests in the Domestic Company which are legally owned by the Pledgor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to be pledged to the Pledgee pursuant to the provisions hereof as the security for the performance by the Pledgor of the Contract Obligations.</w:t>
      </w:r>
    </w:p>
    <w:p>
      <w:pPr>
        <w:spacing w:after="0" w:line="176" w:lineRule="exact"/>
        <w:rPr>
          <w:sz w:val="20"/>
          <w:szCs w:val="20"/>
          <w:color w:val="auto"/>
        </w:rPr>
      </w:pPr>
    </w:p>
    <w:p>
      <w:pPr>
        <w:ind w:left="1300" w:right="180"/>
        <w:spacing w:after="0" w:line="282" w:lineRule="auto"/>
        <w:rPr>
          <w:sz w:val="20"/>
          <w:szCs w:val="20"/>
          <w:color w:val="auto"/>
        </w:rPr>
      </w:pPr>
      <w:r>
        <w:rPr>
          <w:rFonts w:ascii="Arial" w:cs="Arial" w:eastAsia="Arial" w:hAnsi="Arial"/>
          <w:sz w:val="18"/>
          <w:szCs w:val="18"/>
          <w:b w:val="1"/>
          <w:bCs w:val="1"/>
          <w:color w:val="auto"/>
        </w:rPr>
        <w:t xml:space="preserve">“PRC Law” </w:t>
      </w:r>
      <w:r>
        <w:rPr>
          <w:rFonts w:ascii="Arial" w:cs="Arial" w:eastAsia="Arial" w:hAnsi="Arial"/>
          <w:sz w:val="18"/>
          <w:szCs w:val="18"/>
          <w:color w:val="auto"/>
        </w:rPr>
        <w:t>shall mean the then valid laws, administrative regulations, administrative rules, local regulations, judicial interpretations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regulatory documents of the PRC.</w:t>
      </w:r>
    </w:p>
    <w:p>
      <w:pPr>
        <w:spacing w:after="0" w:line="162" w:lineRule="exact"/>
        <w:rPr>
          <w:sz w:val="20"/>
          <w:szCs w:val="20"/>
          <w:color w:val="auto"/>
        </w:rPr>
      </w:pPr>
    </w:p>
    <w:p>
      <w:pPr>
        <w:ind w:left="1300" w:right="80"/>
        <w:spacing w:after="0" w:line="347" w:lineRule="auto"/>
        <w:rPr>
          <w:sz w:val="20"/>
          <w:szCs w:val="20"/>
          <w:color w:val="auto"/>
        </w:rPr>
      </w:pPr>
      <w:r>
        <w:rPr>
          <w:rFonts w:ascii="Arial" w:cs="Arial" w:eastAsia="Arial" w:hAnsi="Arial"/>
          <w:sz w:val="16"/>
          <w:szCs w:val="16"/>
          <w:b w:val="1"/>
          <w:bCs w:val="1"/>
          <w:color w:val="auto"/>
        </w:rPr>
        <w:t xml:space="preserve">“Secured Debts” </w:t>
      </w:r>
      <w:r>
        <w:rPr>
          <w:rFonts w:ascii="Arial" w:cs="Arial" w:eastAsia="Arial" w:hAnsi="Arial"/>
          <w:sz w:val="16"/>
          <w:szCs w:val="16"/>
          <w:color w:val="auto"/>
        </w:rPr>
        <w:t>shall mean all direct, indirect and consequential losses and losses of foreseeable profits suffered by the Pledgee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Breaching Event of any of the Pledgor, and all fees incurred by Pledgee for the enforcement of the Contract Obligations of the Pledgor.</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shall mean the Loan Agreement and the Voting Trust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references to any PRC Law herein shall be deemed:</w:t>
      </w:r>
    </w:p>
    <w:p>
      <w:pPr>
        <w:spacing w:after="0" w:line="225" w:lineRule="exact"/>
        <w:rPr>
          <w:sz w:val="20"/>
          <w:szCs w:val="20"/>
          <w:color w:val="auto"/>
        </w:rPr>
      </w:pPr>
    </w:p>
    <w:p>
      <w:pPr>
        <w:ind w:left="1300" w:right="280" w:firstLine="5"/>
        <w:spacing w:after="0" w:line="277" w:lineRule="auto"/>
        <w:tabs>
          <w:tab w:leader="none" w:pos="195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include references to the amendments, changes, supplements and reenactments of such law, irrespective of whether they take effect before or after the formation of this Agreement;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include references to other decisions, notices or regulations enacted in accordance therewith or effective as a result thereof.</w:t>
      </w:r>
    </w:p>
    <w:p>
      <w:pPr>
        <w:spacing w:after="0" w:line="248" w:lineRule="exact"/>
        <w:rPr>
          <w:sz w:val="20"/>
          <w:szCs w:val="20"/>
          <w:color w:val="auto"/>
        </w:rPr>
      </w:pPr>
    </w:p>
    <w:p>
      <w:pPr>
        <w:ind w:left="1300" w:right="60" w:hanging="647"/>
        <w:spacing w:after="0" w:line="277" w:lineRule="auto"/>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stated in the context herein, all references to an Article, clause, item or paragraph shall refer to the relevant article, clause, item or paragraph of this Agreement.</w:t>
      </w:r>
    </w:p>
    <w:p>
      <w:pPr>
        <w:spacing w:after="0" w:line="166"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Pledge</w:t>
      </w:r>
    </w:p>
    <w:p>
      <w:pPr>
        <w:spacing w:after="0" w:line="229" w:lineRule="exact"/>
        <w:rPr>
          <w:rFonts w:ascii="Arial" w:cs="Arial" w:eastAsia="Arial" w:hAnsi="Arial"/>
          <w:sz w:val="18"/>
          <w:szCs w:val="18"/>
          <w:b w:val="1"/>
          <w:bCs w:val="1"/>
          <w:color w:val="auto"/>
        </w:rPr>
      </w:pPr>
    </w:p>
    <w:p>
      <w:pPr>
        <w:jc w:val="right"/>
        <w:ind w:left="1300" w:right="16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As collateral security for the timely and complete payment and performance of all Contract Obligations, the Pledgor hereby pledges to the Pledgee a first security interest in all of the Pledgor’s rights, title and interests, whether now owned or hereinafter acquired by the Pledgor,</w:t>
      </w:r>
    </w:p>
    <w:p>
      <w:pPr>
        <w:sectPr>
          <w:pgSz w:w="11900" w:h="16908" w:orient="portrait"/>
          <w:cols w:equalWidth="0" w:num="1">
            <w:col w:w="11420"/>
          </w:cols>
          <w:pgMar w:left="240" w:top="121" w:right="239" w:bottom="0" w:gutter="0" w:footer="0" w:header="0"/>
        </w:sectPr>
      </w:pPr>
    </w:p>
    <w:bookmarkStart w:id="167" w:name="page168"/>
    <w:bookmarkEnd w:id="167"/>
    <w:p>
      <w:pPr>
        <w:ind w:left="1292"/>
        <w:spacing w:after="0"/>
        <w:rPr>
          <w:sz w:val="20"/>
          <w:szCs w:val="20"/>
          <w:color w:val="auto"/>
        </w:rPr>
      </w:pPr>
      <w:r>
        <w:rPr>
          <w:rFonts w:ascii="Arial" w:cs="Arial" w:eastAsia="Arial" w:hAnsi="Arial"/>
          <w:sz w:val="18"/>
          <w:szCs w:val="18"/>
          <w:color w:val="auto"/>
        </w:rPr>
        <w:t>in the Pledged Equity (the “</w:t>
      </w:r>
      <w:r>
        <w:rPr>
          <w:rFonts w:ascii="Arial" w:cs="Arial" w:eastAsia="Arial" w:hAnsi="Arial"/>
          <w:sz w:val="18"/>
          <w:szCs w:val="18"/>
          <w:b w:val="1"/>
          <w:bCs w:val="1"/>
          <w:color w:val="auto"/>
        </w:rPr>
        <w:t>Equity Pledge</w:t>
      </w:r>
      <w:r>
        <w:rPr>
          <w:rFonts w:ascii="Arial" w:cs="Arial" w:eastAsia="Arial" w:hAnsi="Arial"/>
          <w:sz w:val="18"/>
          <w:szCs w:val="18"/>
          <w:color w:val="auto"/>
        </w:rPr>
        <w:t>”).</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right="40" w:hanging="647"/>
        <w:spacing w:after="0" w:line="293"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Pledgor shall have been or will be registered at the local branch of State Administration for Industry and Commerce (“</w:t>
      </w:r>
      <w:r>
        <w:rPr>
          <w:rFonts w:ascii="Arial" w:cs="Arial" w:eastAsia="Arial" w:hAnsi="Arial"/>
          <w:sz w:val="16"/>
          <w:szCs w:val="16"/>
          <w:b w:val="1"/>
          <w:bCs w:val="1"/>
          <w:color w:val="auto"/>
        </w:rPr>
        <w:t>SAIC</w:t>
      </w:r>
      <w:r>
        <w:rPr>
          <w:rFonts w:ascii="Arial" w:cs="Arial" w:eastAsia="Arial" w:hAnsi="Arial"/>
          <w:sz w:val="16"/>
          <w:szCs w:val="16"/>
          <w:color w:val="auto"/>
        </w:rPr>
        <w:t>”) as one of the shareholders of the Domestic Company holding his proportion of the equity interests in the Domestic Company as set forth in Recital</w:t>
      </w:r>
    </w:p>
    <w:p>
      <w:pPr>
        <w:spacing w:after="0" w:line="1" w:lineRule="exact"/>
        <w:rPr>
          <w:sz w:val="20"/>
          <w:szCs w:val="20"/>
          <w:color w:val="auto"/>
        </w:rPr>
      </w:pPr>
    </w:p>
    <w:p>
      <w:pPr>
        <w:ind w:left="1292" w:right="100" w:firstLine="5"/>
        <w:spacing w:after="0" w:line="261" w:lineRule="auto"/>
        <w:tabs>
          <w:tab w:leader="none" w:pos="158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above and hold such equity interests free and clear of encumbrances except for the Equity Pledge as provided in this Agreement and as otherwise agreed by the Parties.</w:t>
      </w:r>
    </w:p>
    <w:p>
      <w:pPr>
        <w:spacing w:after="0" w:line="184" w:lineRule="exact"/>
        <w:rPr>
          <w:sz w:val="20"/>
          <w:szCs w:val="20"/>
          <w:color w:val="auto"/>
        </w:rPr>
      </w:pPr>
    </w:p>
    <w:p>
      <w:pPr>
        <w:ind w:left="1292" w:right="140" w:hanging="647"/>
        <w:spacing w:after="0" w:line="293"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5" w:lineRule="exact"/>
        <w:rPr>
          <w:sz w:val="20"/>
          <w:szCs w:val="20"/>
          <w:color w:val="auto"/>
        </w:rPr>
      </w:pPr>
    </w:p>
    <w:p>
      <w:pPr>
        <w:ind w:left="1292" w:right="220" w:hanging="647"/>
        <w:spacing w:after="0" w:line="277"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During the term of this Agreement, the Pledgee shall not be liable in any way for impairment in value of the Pledged Equity, nor shall the Pledgor has any right to make any claims against the Pledgee for such impairment in value.</w:t>
      </w:r>
    </w:p>
    <w:p>
      <w:pPr>
        <w:spacing w:after="0" w:line="170" w:lineRule="exact"/>
        <w:rPr>
          <w:sz w:val="20"/>
          <w:szCs w:val="20"/>
          <w:color w:val="auto"/>
        </w:rPr>
      </w:pPr>
    </w:p>
    <w:p>
      <w:pPr>
        <w:ind w:left="1292" w:right="280" w:hanging="647"/>
        <w:spacing w:after="0" w:line="277"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Upon the occurrence of any Breaching Event, the Pledgee shall have the right to dispose of the Pledged Equity in the manner set forth in Article 4 hereof.</w:t>
      </w:r>
    </w:p>
    <w:p>
      <w:pPr>
        <w:spacing w:after="0" w:line="170" w:lineRule="exact"/>
        <w:rPr>
          <w:sz w:val="20"/>
          <w:szCs w:val="20"/>
          <w:color w:val="auto"/>
        </w:rPr>
      </w:pPr>
    </w:p>
    <w:p>
      <w:pPr>
        <w:ind w:left="1292" w:right="740" w:hanging="647"/>
        <w:spacing w:after="0" w:line="342"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24" w:lineRule="exact"/>
        <w:rPr>
          <w:sz w:val="20"/>
          <w:szCs w:val="20"/>
          <w:color w:val="auto"/>
        </w:rPr>
      </w:pPr>
    </w:p>
    <w:p>
      <w:pPr>
        <w:ind w:left="1292" w:right="360" w:hanging="647"/>
        <w:spacing w:after="0" w:line="277" w:lineRule="auto"/>
        <w:tabs>
          <w:tab w:leader="none" w:pos="127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Without the prior written consent of the Pledgee, the Pledgor shall not enter into any transactions with the Domestic Company.</w:t>
      </w:r>
    </w:p>
    <w:p>
      <w:pPr>
        <w:spacing w:after="0" w:line="225" w:lineRule="exact"/>
        <w:rPr>
          <w:sz w:val="20"/>
          <w:szCs w:val="20"/>
          <w:color w:val="auto"/>
        </w:rPr>
      </w:pPr>
    </w:p>
    <w:p>
      <w:pPr>
        <w:ind w:left="1292" w:right="140" w:hanging="647"/>
        <w:spacing w:after="0" w:line="255" w:lineRule="auto"/>
        <w:tabs>
          <w:tab w:leader="none" w:pos="127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120" w:hanging="647"/>
        <w:spacing w:after="0" w:line="277" w:lineRule="auto"/>
        <w:tabs>
          <w:tab w:leader="none" w:pos="1272" w:val="left"/>
        </w:tabs>
        <w:rPr>
          <w:sz w:val="20"/>
          <w:szCs w:val="20"/>
          <w:color w:val="auto"/>
        </w:rPr>
      </w:pPr>
      <w:r>
        <w:rPr>
          <w:rFonts w:ascii="Arial" w:cs="Arial" w:eastAsia="Arial" w:hAnsi="Arial"/>
          <w:sz w:val="18"/>
          <w:szCs w:val="18"/>
          <w:color w:val="auto"/>
        </w:rPr>
        <w:t>2.10.</w:t>
        <w:tab/>
        <w:t>The Pledgee shall have the right to collect dividends or any other distribution paid with respect to the Pledge Equity during the term of this Agreement.</w:t>
      </w:r>
    </w:p>
    <w:p>
      <w:pPr>
        <w:spacing w:after="0" w:line="166" w:lineRule="exact"/>
        <w:rPr>
          <w:sz w:val="20"/>
          <w:szCs w:val="20"/>
          <w:color w:val="auto"/>
        </w:rPr>
      </w:pPr>
    </w:p>
    <w:p>
      <w:pPr>
        <w:ind w:left="652" w:hanging="652"/>
        <w:spacing w:after="0"/>
        <w:tabs>
          <w:tab w:leader="none" w:pos="652"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Pledge</w:t>
      </w:r>
    </w:p>
    <w:p>
      <w:pPr>
        <w:spacing w:after="0" w:line="229" w:lineRule="exact"/>
        <w:rPr>
          <w:rFonts w:ascii="Arial" w:cs="Arial" w:eastAsia="Arial" w:hAnsi="Arial"/>
          <w:sz w:val="18"/>
          <w:szCs w:val="18"/>
          <w:b w:val="1"/>
          <w:bCs w:val="1"/>
          <w:color w:val="auto"/>
        </w:rPr>
      </w:pPr>
    </w:p>
    <w:p>
      <w:pPr>
        <w:ind w:left="652"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Disposal of the Pledged Equity</w:t>
      </w:r>
    </w:p>
    <w:p>
      <w:pPr>
        <w:spacing w:after="0" w:line="229" w:lineRule="exact"/>
        <w:rPr>
          <w:rFonts w:ascii="Arial" w:cs="Arial" w:eastAsia="Arial" w:hAnsi="Arial"/>
          <w:sz w:val="18"/>
          <w:szCs w:val="18"/>
          <w:b w:val="1"/>
          <w:bCs w:val="1"/>
          <w:color w:val="auto"/>
        </w:rPr>
      </w:pPr>
    </w:p>
    <w:p>
      <w:pPr>
        <w:ind w:left="1292" w:right="20"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72" w:lineRule="exact"/>
        <w:rPr>
          <w:rFonts w:ascii="Arial" w:cs="Arial" w:eastAsia="Arial" w:hAnsi="Arial"/>
          <w:sz w:val="18"/>
          <w:szCs w:val="18"/>
          <w:b w:val="1"/>
          <w:bCs w:val="1"/>
          <w:color w:val="auto"/>
        </w:rPr>
      </w:pPr>
    </w:p>
    <w:p>
      <w:pPr>
        <w:ind w:left="1292" w:right="4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Pledgee shall have the right to designate in writing its legal counsel or other agents to exercise on its behalf any and all rights and powers referred to above, and the Pledgor shall not raise any objection thereto.</w:t>
      </w:r>
    </w:p>
    <w:p>
      <w:pPr>
        <w:spacing w:after="0" w:line="170" w:lineRule="exact"/>
        <w:rPr>
          <w:rFonts w:ascii="Arial" w:cs="Arial" w:eastAsia="Arial" w:hAnsi="Arial"/>
          <w:sz w:val="18"/>
          <w:szCs w:val="18"/>
          <w:b w:val="1"/>
          <w:bCs w:val="1"/>
          <w:color w:val="auto"/>
        </w:rPr>
      </w:pPr>
    </w:p>
    <w:p>
      <w:pPr>
        <w:ind w:left="1292"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4.3.The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p>
      <w:pPr>
        <w:spacing w:after="0" w:line="18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4.4.</w:t>
      </w:r>
      <w:r>
        <w:rPr>
          <w:rFonts w:ascii="Arial" w:cs="Arial" w:eastAsia="Arial" w:hAnsi="Arial"/>
          <w:sz w:val="16"/>
          <w:szCs w:val="16"/>
          <w:color w:val="auto"/>
        </w:rPr>
        <w:t>The proceeds that the Pledgee acquires from the exercise of its rights and powers shall be applied in the following order of priority:</w:t>
      </w:r>
    </w:p>
    <w:p>
      <w:pPr>
        <w:spacing w:after="0" w:line="225" w:lineRule="exact"/>
        <w:rPr>
          <w:rFonts w:ascii="Arial" w:cs="Arial" w:eastAsia="Arial" w:hAnsi="Arial"/>
          <w:sz w:val="18"/>
          <w:szCs w:val="18"/>
          <w:b w:val="1"/>
          <w:bCs w:val="1"/>
          <w:color w:val="auto"/>
        </w:rPr>
      </w:pPr>
    </w:p>
    <w:p>
      <w:pPr>
        <w:ind w:left="1952" w:right="280" w:hanging="655"/>
        <w:spacing w:after="0" w:line="277" w:lineRule="auto"/>
        <w:tabs>
          <w:tab w:leader="none" w:pos="1959" w:val="left"/>
        </w:tabs>
        <w:numPr>
          <w:ilvl w:val="1"/>
          <w:numId w:val="316"/>
        </w:numPr>
        <w:rPr>
          <w:rFonts w:ascii="Arial" w:cs="Arial" w:eastAsia="Arial" w:hAnsi="Arial"/>
          <w:sz w:val="18"/>
          <w:szCs w:val="18"/>
          <w:color w:val="auto"/>
        </w:rPr>
      </w:pPr>
      <w:r>
        <w:rPr>
          <w:rFonts w:ascii="Arial" w:cs="Arial" w:eastAsia="Arial" w:hAnsi="Arial"/>
          <w:sz w:val="18"/>
          <w:szCs w:val="18"/>
          <w:color w:val="auto"/>
        </w:rPr>
        <w:t>first, to pay any cost incurred in connection with the disposal of the Pledged Equity and the exercise by the Pledgee of its rights and powers (including remuneration paid to its legal counsels and agents);</w:t>
      </w:r>
    </w:p>
    <w:p>
      <w:pPr>
        <w:sectPr>
          <w:pgSz w:w="11900" w:h="16838" w:orient="portrait"/>
          <w:cols w:equalWidth="0" w:num="1">
            <w:col w:w="11412"/>
          </w:cols>
          <w:pgMar w:left="248" w:top="122" w:right="239" w:bottom="0" w:gutter="0" w:footer="0" w:header="0"/>
        </w:sectPr>
      </w:pPr>
    </w:p>
    <w:p>
      <w:pPr>
        <w:spacing w:after="0" w:line="17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2" w:right="239" w:bottom="0" w:gutter="0" w:footer="0" w:header="0"/>
          <w:type w:val="continuous"/>
        </w:sectPr>
      </w:pPr>
    </w:p>
    <w:bookmarkStart w:id="168" w:name="page169"/>
    <w:bookmarkEnd w:id="168"/>
    <w:p>
      <w:pPr>
        <w:ind w:left="1952" w:right="180" w:hanging="655"/>
        <w:spacing w:after="0" w:line="277" w:lineRule="auto"/>
        <w:tabs>
          <w:tab w:leader="none" w:pos="195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second, to pay any taxes and levies payable for the disposal of the Pledged Equity (for the avoidance of doubt, such taxes do not include any income tax);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third, to repay the Pledgee for the Secured Debts.</w:t>
      </w:r>
    </w:p>
    <w:p>
      <w:pPr>
        <w:spacing w:after="0" w:line="225" w:lineRule="exact"/>
        <w:rPr>
          <w:sz w:val="20"/>
          <w:szCs w:val="20"/>
          <w:color w:val="auto"/>
        </w:rPr>
      </w:pPr>
    </w:p>
    <w:p>
      <w:pPr>
        <w:ind w:left="1292" w:right="20"/>
        <w:spacing w:after="0" w:line="264" w:lineRule="auto"/>
        <w:rPr>
          <w:sz w:val="20"/>
          <w:szCs w:val="20"/>
          <w:color w:val="auto"/>
        </w:rPr>
      </w:pPr>
      <w:r>
        <w:rPr>
          <w:rFonts w:ascii="Arial" w:cs="Arial" w:eastAsia="Arial" w:hAnsi="Arial"/>
          <w:sz w:val="18"/>
          <w:szCs w:val="18"/>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7" w:lineRule="exact"/>
        <w:rPr>
          <w:sz w:val="20"/>
          <w:szCs w:val="20"/>
          <w:color w:val="auto"/>
        </w:rPr>
      </w:pPr>
    </w:p>
    <w:p>
      <w:pPr>
        <w:ind w:left="652" w:hanging="652"/>
        <w:spacing w:after="0"/>
        <w:tabs>
          <w:tab w:leader="none" w:pos="652"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Continuity and No Waiver</w:t>
      </w:r>
    </w:p>
    <w:p>
      <w:pPr>
        <w:spacing w:after="0" w:line="229" w:lineRule="exact"/>
        <w:rPr>
          <w:rFonts w:ascii="Arial" w:cs="Arial" w:eastAsia="Arial" w:hAnsi="Arial"/>
          <w:sz w:val="18"/>
          <w:szCs w:val="18"/>
          <w:b w:val="1"/>
          <w:bCs w:val="1"/>
          <w:color w:val="auto"/>
        </w:rPr>
      </w:pPr>
    </w:p>
    <w:p>
      <w:pPr>
        <w:ind w:left="652"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6.1.As of the date of this Agreement and during the term of this Agreement through the date of termination or expiration of this Agreement, the Pledgor hereby represents and warrants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Pledgor is a PRC citizen with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00" w:hanging="655"/>
        <w:spacing w:after="0" w:line="286" w:lineRule="auto"/>
        <w:tabs>
          <w:tab w:leader="none" w:pos="1959"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This Agreement constitutes the lawful, valid and enforceable obligations of the Pledgor.</w:t>
      </w:r>
    </w:p>
    <w:p>
      <w:pPr>
        <w:spacing w:after="0" w:line="225" w:lineRule="exact"/>
        <w:rPr>
          <w:rFonts w:ascii="Arial" w:cs="Arial" w:eastAsia="Arial" w:hAnsi="Arial"/>
          <w:sz w:val="18"/>
          <w:szCs w:val="18"/>
          <w:color w:val="auto"/>
        </w:rPr>
      </w:pPr>
    </w:p>
    <w:p>
      <w:pPr>
        <w:ind w:left="1952" w:right="560" w:hanging="655"/>
        <w:spacing w:after="0" w:line="277" w:lineRule="auto"/>
        <w:tabs>
          <w:tab w:leader="none" w:pos="195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All reports, documents and information provided by the Pledgor to the Pledgee are true, correct and accurate in all material respects.</w:t>
      </w:r>
    </w:p>
    <w:p>
      <w:pPr>
        <w:spacing w:after="0" w:line="170" w:lineRule="exact"/>
        <w:rPr>
          <w:rFonts w:ascii="Arial" w:cs="Arial" w:eastAsia="Arial" w:hAnsi="Arial"/>
          <w:sz w:val="18"/>
          <w:szCs w:val="18"/>
          <w:color w:val="auto"/>
        </w:rPr>
      </w:pPr>
    </w:p>
    <w:p>
      <w:pPr>
        <w:ind w:left="1952" w:right="100" w:hanging="655"/>
        <w:spacing w:after="0" w:line="286" w:lineRule="auto"/>
        <w:tabs>
          <w:tab w:leader="none" w:pos="1963"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40" w:hanging="655"/>
        <w:spacing w:after="0" w:line="308" w:lineRule="auto"/>
        <w:tabs>
          <w:tab w:leader="none" w:pos="195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46" w:lineRule="exact"/>
        <w:rPr>
          <w:rFonts w:ascii="Arial" w:cs="Arial" w:eastAsia="Arial" w:hAnsi="Arial"/>
          <w:sz w:val="17"/>
          <w:szCs w:val="17"/>
          <w:color w:val="auto"/>
        </w:rPr>
      </w:pPr>
    </w:p>
    <w:p>
      <w:pPr>
        <w:ind w:left="1952" w:right="20" w:hanging="655"/>
        <w:spacing w:after="0" w:line="277" w:lineRule="auto"/>
        <w:tabs>
          <w:tab w:leader="none" w:pos="197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Pledged Equity is capable of being pledged or transferred according to PRC Law, and the Pledgor has the full right and power to pledge the Pledged Equity to the Pledgee according to this Agreement.</w:t>
      </w:r>
    </w:p>
    <w:p>
      <w:pPr>
        <w:spacing w:after="0" w:line="170" w:lineRule="exact"/>
        <w:rPr>
          <w:rFonts w:ascii="Arial" w:cs="Arial" w:eastAsia="Arial" w:hAnsi="Arial"/>
          <w:sz w:val="18"/>
          <w:szCs w:val="18"/>
          <w:color w:val="auto"/>
        </w:rPr>
      </w:pPr>
    </w:p>
    <w:p>
      <w:pPr>
        <w:ind w:left="1952" w:hanging="655"/>
        <w:spacing w:after="0" w:line="259" w:lineRule="auto"/>
        <w:tabs>
          <w:tab w:leader="none" w:pos="195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86" w:lineRule="exact"/>
        <w:rPr>
          <w:rFonts w:ascii="Arial" w:cs="Arial" w:eastAsia="Arial" w:hAnsi="Arial"/>
          <w:sz w:val="18"/>
          <w:szCs w:val="18"/>
          <w:color w:val="auto"/>
        </w:rPr>
      </w:pPr>
    </w:p>
    <w:p>
      <w:pPr>
        <w:ind w:left="1972" w:hanging="675"/>
        <w:spacing w:after="0"/>
        <w:tabs>
          <w:tab w:leader="none" w:pos="197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Equity Pledge hereunder constitutes a first pledge on the Pledged Equity.</w:t>
      </w:r>
    </w:p>
    <w:p>
      <w:pPr>
        <w:spacing w:after="0" w:line="225" w:lineRule="exact"/>
        <w:rPr>
          <w:rFonts w:ascii="Arial" w:cs="Arial" w:eastAsia="Arial" w:hAnsi="Arial"/>
          <w:sz w:val="18"/>
          <w:szCs w:val="18"/>
          <w:color w:val="auto"/>
        </w:rPr>
      </w:pPr>
    </w:p>
    <w:p>
      <w:pPr>
        <w:ind w:left="1952" w:right="20" w:hanging="655"/>
        <w:spacing w:after="0" w:line="279" w:lineRule="auto"/>
        <w:tabs>
          <w:tab w:leader="none" w:pos="19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 of the date of this Agreement and during the term of this Agreement through the date of termination or expiration of this Agreement,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Pledgee hereby represents and warrants as follows:</w:t>
      </w:r>
    </w:p>
    <w:p>
      <w:pPr>
        <w:spacing w:after="0" w:line="211" w:lineRule="exact"/>
        <w:rPr>
          <w:sz w:val="20"/>
          <w:szCs w:val="20"/>
          <w:color w:val="auto"/>
        </w:rPr>
      </w:pPr>
    </w:p>
    <w:p>
      <w:pPr>
        <w:ind w:left="1932" w:hanging="635"/>
        <w:spacing w:after="0"/>
        <w:tabs>
          <w:tab w:leader="none" w:pos="19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Pledgee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40" w:hanging="655"/>
        <w:spacing w:after="0" w:line="259" w:lineRule="auto"/>
        <w:tabs>
          <w:tab w:leader="none" w:pos="195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86" w:lineRule="exact"/>
        <w:rPr>
          <w:rFonts w:ascii="Arial" w:cs="Arial" w:eastAsia="Arial" w:hAnsi="Arial"/>
          <w:sz w:val="18"/>
          <w:szCs w:val="18"/>
          <w:color w:val="auto"/>
        </w:rPr>
      </w:pPr>
    </w:p>
    <w:p>
      <w:pPr>
        <w:ind w:left="1952" w:hanging="655"/>
        <w:spacing w:after="0"/>
        <w:tabs>
          <w:tab w:leader="none" w:pos="195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the Pledgee.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585" w:right="279" w:bottom="0" w:gutter="0" w:footer="0" w:header="0"/>
        </w:sectPr>
      </w:pPr>
    </w:p>
    <w:bookmarkStart w:id="169" w:name="page170"/>
    <w:bookmarkEnd w:id="169"/>
    <w:p>
      <w:pPr>
        <w:ind w:left="652" w:hanging="652"/>
        <w:spacing w:after="0"/>
        <w:tabs>
          <w:tab w:leader="none" w:pos="652"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Pledgor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Pledgor hereby undertakes to the Pledgee as follows:</w:t>
      </w:r>
    </w:p>
    <w:p>
      <w:pPr>
        <w:spacing w:after="0" w:line="225" w:lineRule="exact"/>
        <w:rPr>
          <w:rFonts w:ascii="Arial" w:cs="Arial" w:eastAsia="Arial" w:hAnsi="Arial"/>
          <w:sz w:val="18"/>
          <w:szCs w:val="18"/>
          <w:b w:val="1"/>
          <w:bCs w:val="1"/>
          <w:color w:val="auto"/>
        </w:rPr>
      </w:pPr>
    </w:p>
    <w:p>
      <w:pPr>
        <w:ind w:left="1952" w:right="40" w:hanging="655"/>
        <w:spacing w:after="0" w:line="264" w:lineRule="auto"/>
        <w:tabs>
          <w:tab w:leader="none" w:pos="1949" w:val="left"/>
        </w:tabs>
        <w:numPr>
          <w:ilvl w:val="2"/>
          <w:numId w:val="321"/>
        </w:numPr>
        <w:rPr>
          <w:rFonts w:ascii="Arial" w:cs="Arial" w:eastAsia="Arial" w:hAnsi="Arial"/>
          <w:sz w:val="18"/>
          <w:szCs w:val="18"/>
          <w:color w:val="auto"/>
        </w:rPr>
      </w:pPr>
      <w:r>
        <w:rPr>
          <w:rFonts w:ascii="Arial" w:cs="Arial" w:eastAsia="Arial" w:hAnsi="Arial"/>
          <w:sz w:val="18"/>
          <w:szCs w:val="18"/>
          <w:color w:val="auto"/>
        </w:rPr>
        <w:t>Without the prior written consent by the Pledgee, the Pledgor shall not establish or permit to establish any further pledge or any other encumbrance on the Pledged Equity. Any pledge or other encumbrance on all or part of the Pledge Equity without such prior written consent shall be null and void.</w:t>
      </w:r>
    </w:p>
    <w:p>
      <w:pPr>
        <w:spacing w:after="0" w:line="181" w:lineRule="exact"/>
        <w:rPr>
          <w:rFonts w:ascii="Arial" w:cs="Arial" w:eastAsia="Arial" w:hAnsi="Arial"/>
          <w:sz w:val="18"/>
          <w:szCs w:val="18"/>
          <w:color w:val="auto"/>
        </w:rPr>
      </w:pPr>
    </w:p>
    <w:p>
      <w:pPr>
        <w:ind w:left="1952" w:right="60" w:hanging="655"/>
        <w:spacing w:after="0" w:line="312" w:lineRule="auto"/>
        <w:tabs>
          <w:tab w:leader="none" w:pos="1959" w:val="left"/>
        </w:tabs>
        <w:numPr>
          <w:ilvl w:val="2"/>
          <w:numId w:val="321"/>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46" w:lineRule="exact"/>
        <w:rPr>
          <w:rFonts w:ascii="Arial" w:cs="Arial" w:eastAsia="Arial" w:hAnsi="Arial"/>
          <w:sz w:val="16"/>
          <w:szCs w:val="16"/>
          <w:color w:val="auto"/>
        </w:rPr>
      </w:pPr>
    </w:p>
    <w:p>
      <w:pPr>
        <w:ind w:left="1952" w:right="20" w:hanging="655"/>
        <w:spacing w:after="0" w:line="279" w:lineRule="auto"/>
        <w:tabs>
          <w:tab w:leader="none" w:pos="1963" w:val="left"/>
        </w:tabs>
        <w:numPr>
          <w:ilvl w:val="2"/>
          <w:numId w:val="321"/>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1" w:lineRule="exact"/>
        <w:rPr>
          <w:rFonts w:ascii="Arial" w:cs="Arial" w:eastAsia="Arial" w:hAnsi="Arial"/>
          <w:sz w:val="17"/>
          <w:szCs w:val="17"/>
          <w:color w:val="auto"/>
        </w:rPr>
      </w:pPr>
    </w:p>
    <w:p>
      <w:pPr>
        <w:ind w:left="1952" w:right="40" w:hanging="655"/>
        <w:spacing w:after="0" w:line="277" w:lineRule="auto"/>
        <w:tabs>
          <w:tab w:leader="none" w:pos="1959" w:val="left"/>
        </w:tabs>
        <w:numPr>
          <w:ilvl w:val="2"/>
          <w:numId w:val="321"/>
        </w:numPr>
        <w:rPr>
          <w:rFonts w:ascii="Arial" w:cs="Arial" w:eastAsia="Arial" w:hAnsi="Arial"/>
          <w:sz w:val="18"/>
          <w:szCs w:val="18"/>
          <w:color w:val="auto"/>
        </w:rPr>
      </w:pPr>
      <w:r>
        <w:rPr>
          <w:rFonts w:ascii="Arial" w:cs="Arial" w:eastAsia="Arial" w:hAnsi="Arial"/>
          <w:sz w:val="18"/>
          <w:szCs w:val="18"/>
          <w:color w:val="auto"/>
        </w:rPr>
        <w:t>The Pledgor shall not take or permit any act or action which may adversely affect the interest of the Pledgee under the Transaction Agreements and hereunder or in respect of the Pledged Equity.</w:t>
      </w:r>
    </w:p>
    <w:p>
      <w:pPr>
        <w:spacing w:after="0" w:line="170" w:lineRule="exact"/>
        <w:rPr>
          <w:rFonts w:ascii="Arial" w:cs="Arial" w:eastAsia="Arial" w:hAnsi="Arial"/>
          <w:sz w:val="18"/>
          <w:szCs w:val="18"/>
          <w:color w:val="auto"/>
        </w:rPr>
      </w:pPr>
    </w:p>
    <w:p>
      <w:pPr>
        <w:ind w:left="1952" w:hanging="655"/>
        <w:spacing w:after="0" w:line="264" w:lineRule="auto"/>
        <w:tabs>
          <w:tab w:leader="none" w:pos="1963" w:val="left"/>
        </w:tabs>
        <w:numPr>
          <w:ilvl w:val="2"/>
          <w:numId w:val="321"/>
        </w:numPr>
        <w:rPr>
          <w:rFonts w:ascii="Arial" w:cs="Arial" w:eastAsia="Arial" w:hAnsi="Arial"/>
          <w:sz w:val="18"/>
          <w:szCs w:val="18"/>
          <w:color w:val="auto"/>
        </w:rPr>
      </w:pPr>
      <w:r>
        <w:rPr>
          <w:rFonts w:ascii="Arial" w:cs="Arial" w:eastAsia="Arial" w:hAnsi="Arial"/>
          <w:sz w:val="18"/>
          <w:szCs w:val="18"/>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Circumstances</w:t>
      </w:r>
    </w:p>
    <w:p>
      <w:pPr>
        <w:spacing w:after="0" w:line="229" w:lineRule="exact"/>
        <w:rPr>
          <w:rFonts w:ascii="Arial" w:cs="Arial" w:eastAsia="Arial" w:hAnsi="Arial"/>
          <w:sz w:val="18"/>
          <w:szCs w:val="18"/>
          <w:b w:val="1"/>
          <w:bCs w:val="1"/>
          <w:color w:val="auto"/>
        </w:rPr>
      </w:pPr>
    </w:p>
    <w:p>
      <w:pPr>
        <w:ind w:left="6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93" w:lineRule="exact"/>
        <w:rPr>
          <w:rFonts w:ascii="Arial" w:cs="Arial" w:eastAsia="Arial" w:hAnsi="Arial"/>
          <w:sz w:val="18"/>
          <w:szCs w:val="18"/>
          <w:b w:val="1"/>
          <w:bCs w:val="1"/>
          <w:color w:val="auto"/>
        </w:rPr>
      </w:pPr>
    </w:p>
    <w:p>
      <w:pPr>
        <w:ind w:left="1312" w:hanging="664"/>
        <w:spacing w:after="0"/>
        <w:tabs>
          <w:tab w:leader="none" w:pos="131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keep this Agreement valid and effective;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12" w:hanging="664"/>
        <w:spacing w:after="0"/>
        <w:tabs>
          <w:tab w:leader="none" w:pos="131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facilitate the disposal of the Pledged Equity in the manner provided herein; and/or</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maintain or realize the intention or the security established hereunder.</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 of the Agreement</w:t>
      </w:r>
    </w:p>
    <w:p>
      <w:pPr>
        <w:spacing w:after="0" w:line="229" w:lineRule="exact"/>
        <w:rPr>
          <w:rFonts w:ascii="Arial" w:cs="Arial" w:eastAsia="Arial" w:hAnsi="Arial"/>
          <w:sz w:val="18"/>
          <w:szCs w:val="18"/>
          <w:b w:val="1"/>
          <w:bCs w:val="1"/>
          <w:color w:val="auto"/>
        </w:rPr>
      </w:pPr>
    </w:p>
    <w:p>
      <w:pPr>
        <w:ind w:left="1292"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7"/>
          <w:szCs w:val="17"/>
          <w:color w:val="auto"/>
        </w:rPr>
        <w:t>This Agreement shall become effective when it has been duly executed by the parties hereto and recorded in the register of equityholders (if any) of the Domestic Company, and the Equity Pledge under this Agreement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72"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9.2.This Agreement shall continue to be valid until the full performance of the Contract Obligations or the full discharge and satisfaction of the Secured Debts.</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w:t>
      </w:r>
    </w:p>
    <w:p>
      <w:pPr>
        <w:spacing w:after="0" w:line="184"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to Pledgee: </w:t>
      </w:r>
      <w:r>
        <w:rPr>
          <w:rFonts w:ascii="Arial" w:cs="Arial" w:eastAsia="Arial" w:hAnsi="Arial"/>
          <w:sz w:val="18"/>
          <w:szCs w:val="18"/>
          <w:color w:val="auto"/>
        </w:rPr>
        <w:t>NetEase Information Technology (Beijing) Co., Ltd.</w:t>
      </w:r>
    </w:p>
    <w:p>
      <w:pPr>
        <w:sectPr>
          <w:pgSz w:w="11900" w:h="16838" w:orient="portrait"/>
          <w:cols w:equalWidth="0" w:num="1">
            <w:col w:w="11372"/>
          </w:cols>
          <w:pgMar w:left="248" w:top="580" w:right="279" w:bottom="0" w:gutter="0" w:footer="0" w:header="0"/>
        </w:sectPr>
      </w:pPr>
    </w:p>
    <w:p>
      <w:pPr>
        <w:spacing w:after="0" w:line="229"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26/F, SP Tower D, Tsinghua Science Park Building 8, No.1 Zhongguancun East Road, Haidian District, Beijing 100084, PRC</w:t>
      </w:r>
    </w:p>
    <w:p>
      <w:pPr>
        <w:spacing w:after="0" w:line="170" w:lineRule="exact"/>
        <w:rPr>
          <w:sz w:val="20"/>
          <w:szCs w:val="20"/>
          <w:color w:val="auto"/>
        </w:rPr>
      </w:pPr>
    </w:p>
    <w:p>
      <w:pPr>
        <w:sectPr>
          <w:pgSz w:w="11900" w:h="16838" w:orient="portrait"/>
          <w:cols w:equalWidth="0" w:num="2">
            <w:col w:w="2472" w:space="640"/>
            <w:col w:w="8260"/>
          </w:cols>
          <w:pgMar w:left="248" w:top="580" w:right="279" w:bottom="0" w:gutter="0" w:footer="0" w:header="0"/>
          <w:type w:val="continuous"/>
        </w:sectPr>
      </w:pPr>
    </w:p>
    <w:p>
      <w:pPr>
        <w:ind w:left="183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 10) 82558100, (86 571) 8755 3125</w:t>
      </w:r>
    </w:p>
    <w:p>
      <w:pPr>
        <w:spacing w:after="0" w:line="200" w:lineRule="exact"/>
        <w:rPr>
          <w:sz w:val="20"/>
          <w:szCs w:val="20"/>
          <w:color w:val="auto"/>
        </w:rPr>
      </w:pPr>
    </w:p>
    <w:p>
      <w:pPr>
        <w:sectPr>
          <w:pgSz w:w="11900" w:h="16838" w:orient="portrait"/>
          <w:cols w:equalWidth="0" w:num="2">
            <w:col w:w="2392" w:space="720"/>
            <w:col w:w="8260"/>
          </w:cols>
          <w:pgMar w:left="248" w:top="580" w:right="279" w:bottom="0" w:gutter="0" w:footer="0" w:header="0"/>
          <w:type w:val="continuous"/>
        </w:sectPr>
      </w:pPr>
    </w:p>
    <w:p>
      <w:pPr>
        <w:spacing w:after="0" w:line="48" w:lineRule="exact"/>
        <w:rPr>
          <w:sz w:val="20"/>
          <w:szCs w:val="20"/>
          <w:color w:val="auto"/>
        </w:rPr>
      </w:pPr>
    </w:p>
    <w:p>
      <w:pPr>
        <w:ind w:left="183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William Lei Ding</w:t>
      </w:r>
    </w:p>
    <w:p>
      <w:pPr>
        <w:spacing w:after="0" w:line="200" w:lineRule="exact"/>
        <w:rPr>
          <w:sz w:val="20"/>
          <w:szCs w:val="20"/>
          <w:color w:val="auto"/>
        </w:rPr>
      </w:pPr>
    </w:p>
    <w:p>
      <w:pPr>
        <w:sectPr>
          <w:pgSz w:w="11900" w:h="16838" w:orient="portrait"/>
          <w:cols w:equalWidth="0" w:num="2">
            <w:col w:w="2572" w:space="540"/>
            <w:col w:w="8260"/>
          </w:cols>
          <w:pgMar w:left="248" w:top="580" w:right="279" w:bottom="0"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Pledgor: Xiaojun Hui</w:t>
      </w:r>
    </w:p>
    <w:p>
      <w:pPr>
        <w:spacing w:after="0" w:line="229" w:lineRule="exact"/>
        <w:rPr>
          <w:sz w:val="20"/>
          <w:szCs w:val="20"/>
          <w:color w:val="auto"/>
        </w:rPr>
      </w:pPr>
    </w:p>
    <w:p>
      <w:pPr>
        <w:ind w:left="1832"/>
        <w:spacing w:after="0"/>
        <w:tabs>
          <w:tab w:leader="none" w:pos="3092"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No.104 Tianhe Road, Tianhe District, Guangzhou, Guangdong, PRC</w:t>
      </w:r>
    </w:p>
    <w:p>
      <w:pPr>
        <w:sectPr>
          <w:pgSz w:w="11900" w:h="16838" w:orient="portrait"/>
          <w:cols w:equalWidth="0" w:num="1">
            <w:col w:w="11372"/>
          </w:cols>
          <w:pgMar w:left="248" w:top="580" w:right="279" w:bottom="0" w:gutter="0" w:footer="0" w:header="0"/>
          <w:type w:val="continuous"/>
        </w:sectPr>
      </w:pPr>
    </w:p>
    <w:bookmarkStart w:id="170" w:name="page171"/>
    <w:bookmarkEnd w:id="170"/>
    <w:p>
      <w:pPr>
        <w:spacing w:after="0" w:line="73" w:lineRule="exact"/>
        <w:rPr>
          <w:sz w:val="20"/>
          <w:szCs w:val="20"/>
          <w:color w:val="auto"/>
        </w:rPr>
      </w:pPr>
    </w:p>
    <w:tbl>
      <w:tblPr>
        <w:tblLayout w:type="fixed"/>
        <w:tblInd w:w="1832"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1800" w:type="dxa"/>
            <w:vAlign w:val="bottom"/>
          </w:tcPr>
          <w:p>
            <w:pPr>
              <w:jc w:val="right"/>
              <w:spacing w:after="0"/>
              <w:rPr>
                <w:sz w:val="20"/>
                <w:szCs w:val="20"/>
                <w:color w:val="auto"/>
              </w:rPr>
            </w:pPr>
            <w:r>
              <w:rPr>
                <w:rFonts w:ascii="Arial" w:cs="Arial" w:eastAsia="Arial" w:hAnsi="Arial"/>
                <w:sz w:val="18"/>
                <w:szCs w:val="18"/>
                <w:color w:val="auto"/>
              </w:rPr>
              <w:t>(86 20) 8554 0577</w:t>
            </w:r>
          </w:p>
        </w:tc>
      </w:tr>
    </w:tbl>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32" w:hanging="632"/>
        <w:spacing w:after="0"/>
        <w:tabs>
          <w:tab w:leader="none" w:pos="632"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292"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12.1. The formation, validity,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292" w:right="120" w:hanging="648"/>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12.2. 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submit such dispute to China International Economic and Trade Arbitration Commission (hereinafter, the “CIETAC”) for arbitration in Beijing in accordance with the then effective arbitration rules of the CIETAC. The arbitration panel shall consist of three</w:t>
      </w:r>
    </w:p>
    <w:p>
      <w:pPr>
        <w:spacing w:after="0" w:line="1" w:lineRule="exact"/>
        <w:rPr>
          <w:rFonts w:ascii="Arial" w:cs="Arial" w:eastAsia="Arial" w:hAnsi="Arial"/>
          <w:sz w:val="18"/>
          <w:szCs w:val="18"/>
          <w:b w:val="1"/>
          <w:bCs w:val="1"/>
          <w:color w:val="auto"/>
        </w:rPr>
      </w:pPr>
    </w:p>
    <w:p>
      <w:pPr>
        <w:ind w:left="1292" w:right="60" w:firstLine="5"/>
        <w:spacing w:after="0" w:line="254" w:lineRule="auto"/>
        <w:tabs>
          <w:tab w:leader="none" w:pos="154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arbitrators who may or may not be on the CIETAC’s list of arbitrators, of which one arbitrator shall be selected by the Pledgee and one arbitrator shall be jointly selected by the Pledgor. The third arbitrator, who shall be the chairman of the arbitration panel, shall be jointly selected by the two arbitrators selected by the Parties and shall have expertise in the area of the dispute. The arbitration award shall be final and binding on all Parties.</w:t>
      </w:r>
    </w:p>
    <w:p>
      <w:pPr>
        <w:spacing w:after="0" w:line="190" w:lineRule="exact"/>
        <w:rPr>
          <w:sz w:val="20"/>
          <w:szCs w:val="20"/>
          <w:color w:val="auto"/>
        </w:rPr>
      </w:pPr>
    </w:p>
    <w:p>
      <w:pPr>
        <w:ind w:left="1292" w:right="500" w:hanging="647"/>
        <w:spacing w:after="0" w:line="308" w:lineRule="auto"/>
        <w:tabs>
          <w:tab w:leader="none" w:pos="127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7" w:lineRule="exact"/>
        <w:rPr>
          <w:sz w:val="20"/>
          <w:szCs w:val="20"/>
          <w:color w:val="auto"/>
        </w:rPr>
      </w:pPr>
    </w:p>
    <w:p>
      <w:pPr>
        <w:ind w:left="1292" w:right="60" w:hanging="647"/>
        <w:spacing w:after="0" w:line="259" w:lineRule="auto"/>
        <w:tabs>
          <w:tab w:leader="none" w:pos="1272" w:val="left"/>
        </w:tabs>
        <w:rPr>
          <w:sz w:val="20"/>
          <w:szCs w:val="20"/>
          <w:color w:val="auto"/>
        </w:rPr>
      </w:pPr>
      <w:r>
        <w:rPr>
          <w:rFonts w:ascii="Arial" w:cs="Arial" w:eastAsia="Arial" w:hAnsi="Arial"/>
          <w:sz w:val="18"/>
          <w:szCs w:val="18"/>
          <w:color w:val="auto"/>
        </w:rPr>
        <w:t>12.4.</w:t>
        <w:tab/>
        <w:t>Notwithstanding the foregoing, the Parties agree that either of them may seek interim measures including property preservation in relation to the provisions of this agreement or the Parties’ performance of it from any court of competent jurisdiction (including the courts of the Domestic Company’s place of incorporation and the place where the Domestic Company’s principal assets are located and the courts of the Hong Kong (to the extent permitted under the PRC law)).</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292" w:right="12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pacing w:after="0" w:line="193" w:lineRule="exact"/>
        <w:rPr>
          <w:rFonts w:ascii="Arial" w:cs="Arial" w:eastAsia="Arial" w:hAnsi="Arial"/>
          <w:sz w:val="18"/>
          <w:szCs w:val="18"/>
          <w:b w:val="1"/>
          <w:bCs w:val="1"/>
          <w:color w:val="auto"/>
        </w:rPr>
      </w:pPr>
    </w:p>
    <w:p>
      <w:pPr>
        <w:ind w:left="1292" w:right="1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13.2. The amount of Secured Debts determined by the Pledgee in exercising its rights over the Pledged Equity in accordance with the provisions contained herein shall be conclusive evidence of the amount of the Secured Debts hereunder.</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13.3.   This Agreement may not be amended or modified in any manner except by an instrument in writing signed by the Parties hereto.</w:t>
      </w:r>
    </w:p>
    <w:p>
      <w:pPr>
        <w:spacing w:after="0" w:line="236" w:lineRule="exact"/>
        <w:rPr>
          <w:rFonts w:ascii="Arial" w:cs="Arial" w:eastAsia="Arial" w:hAnsi="Arial"/>
          <w:sz w:val="18"/>
          <w:szCs w:val="18"/>
          <w:b w:val="1"/>
          <w:bCs w:val="1"/>
          <w:color w:val="auto"/>
        </w:rPr>
      </w:pPr>
    </w:p>
    <w:p>
      <w:pPr>
        <w:ind w:left="1292" w:right="20" w:hanging="648"/>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13.4. 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71" w:lineRule="exact"/>
        <w:rPr>
          <w:rFonts w:ascii="Arial" w:cs="Arial" w:eastAsia="Arial" w:hAnsi="Arial"/>
          <w:sz w:val="18"/>
          <w:szCs w:val="18"/>
          <w:b w:val="1"/>
          <w:bCs w:val="1"/>
          <w:color w:val="auto"/>
        </w:rPr>
      </w:pPr>
    </w:p>
    <w:p>
      <w:pPr>
        <w:ind w:left="1292" w:right="20" w:hanging="648"/>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13.5. In the event the Registered Version is used for the purposes of the Registration of Pledge, the Parties agree that, to the extent there is any discrepancy between this Agreement and the Registered Version and/or to the extent any contents of this Agreement supplement the Registered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the unenforceable provision to replace it with enforceable provision which as closely as possible reflects the intent of the Parties.</w:t>
      </w:r>
    </w:p>
    <w:p>
      <w:pPr>
        <w:spacing w:after="0" w:line="163" w:lineRule="exact"/>
        <w:rPr>
          <w:rFonts w:ascii="Arial" w:cs="Arial" w:eastAsia="Arial" w:hAnsi="Arial"/>
          <w:sz w:val="18"/>
          <w:szCs w:val="18"/>
          <w:b w:val="1"/>
          <w:bCs w:val="1"/>
          <w:color w:val="auto"/>
        </w:rPr>
      </w:pPr>
    </w:p>
    <w:p>
      <w:pPr>
        <w:ind w:left="1292" w:right="120" w:hanging="648"/>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13.6. Upon the execution of this Agreement, the Pledgor shall enter into a power of attorney (the “</w:t>
      </w:r>
      <w:r>
        <w:rPr>
          <w:rFonts w:ascii="Arial" w:cs="Arial" w:eastAsia="Arial" w:hAnsi="Arial"/>
          <w:sz w:val="18"/>
          <w:szCs w:val="18"/>
          <w:b w:val="1"/>
          <w:bCs w:val="1"/>
          <w:color w:val="auto"/>
        </w:rPr>
        <w:t>Power of Attorney</w:t>
      </w:r>
      <w:r>
        <w:rPr>
          <w:rFonts w:ascii="Arial" w:cs="Arial" w:eastAsia="Arial" w:hAnsi="Arial"/>
          <w:sz w:val="18"/>
          <w:szCs w:val="18"/>
          <w:color w:val="auto"/>
        </w:rPr>
        <w:t xml:space="preserve">”, the form of which is set forth in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ectPr>
          <w:pgSz w:w="11900" w:h="16911" w:orient="portrait"/>
          <w:cols w:equalWidth="0" w:num="1">
            <w:col w:w="11392"/>
          </w:cols>
          <w:pgMar w:left="248" w:top="125" w:right="259" w:bottom="0" w:gutter="0" w:footer="0" w:header="0"/>
        </w:sectPr>
      </w:pPr>
    </w:p>
    <w:bookmarkStart w:id="171" w:name="page172"/>
    <w:bookmarkEnd w:id="171"/>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hanging="647"/>
        <w:spacing w:after="0" w:line="290" w:lineRule="auto"/>
        <w:tabs>
          <w:tab w:leader="none" w:pos="12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6"/>
          <w:szCs w:val="16"/>
          <w:b w:val="1"/>
          <w:bCs w:val="1"/>
          <w:color w:val="auto"/>
        </w:rPr>
        <w:t>ApplicableRequirements</w:t>
      </w:r>
      <w:r>
        <w:rPr>
          <w:rFonts w:ascii="Arial" w:cs="Arial" w:eastAsia="Arial" w:hAnsi="Arial"/>
          <w:sz w:val="16"/>
          <w:szCs w:val="16"/>
          <w:color w:val="auto"/>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the Pledgee.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5720"/>
              <w:spacing w:after="0"/>
              <w:rPr>
                <w:sz w:val="20"/>
                <w:szCs w:val="20"/>
                <w:color w:val="auto"/>
              </w:rPr>
            </w:pPr>
            <w:r>
              <w:rPr>
                <w:rFonts w:ascii="Arial" w:cs="Arial" w:eastAsia="Arial" w:hAnsi="Arial"/>
                <w:sz w:val="18"/>
                <w:szCs w:val="18"/>
                <w:b w:val="1"/>
                <w:bCs w:val="1"/>
                <w:color w:val="auto"/>
              </w:rPr>
              <w:t>Pledgee:</w:t>
            </w:r>
          </w:p>
        </w:tc>
        <w:tc>
          <w:tcPr>
            <w:tcW w:w="4800" w:type="dxa"/>
            <w:vAlign w:val="bottom"/>
            <w:gridSpan w:val="3"/>
          </w:tcPr>
          <w:p>
            <w:pPr>
              <w:ind w:left="240"/>
              <w:spacing w:after="0"/>
              <w:rPr>
                <w:sz w:val="20"/>
                <w:szCs w:val="20"/>
                <w:color w:val="auto"/>
              </w:rPr>
            </w:pPr>
            <w:r>
              <w:rPr>
                <w:rFonts w:ascii="Arial" w:cs="Arial" w:eastAsia="Arial" w:hAnsi="Arial"/>
                <w:sz w:val="18"/>
                <w:szCs w:val="18"/>
                <w:b w:val="1"/>
                <w:bCs w:val="1"/>
                <w:color w:val="auto"/>
                <w:w w:val="93"/>
              </w:rPr>
              <w:t>NetEase Information Technology (Beijing) Co., Ltd. (seal)</w:t>
            </w:r>
          </w:p>
        </w:tc>
        <w:tc>
          <w:tcPr>
            <w:tcW w:w="40" w:type="dxa"/>
            <w:vAlign w:val="bottom"/>
          </w:tcPr>
          <w:p>
            <w:pPr>
              <w:spacing w:after="0"/>
              <w:rPr>
                <w:sz w:val="20"/>
                <w:szCs w:val="20"/>
                <w:color w:val="auto"/>
              </w:rPr>
            </w:pPr>
          </w:p>
        </w:tc>
      </w:tr>
      <w:tr>
        <w:trPr>
          <w:trHeight w:val="648"/>
        </w:trPr>
        <w:tc>
          <w:tcPr>
            <w:tcW w:w="6620" w:type="dxa"/>
            <w:vAlign w:val="bottom"/>
          </w:tcPr>
          <w:p>
            <w:pPr>
              <w:spacing w:after="0"/>
              <w:rPr>
                <w:sz w:val="24"/>
                <w:szCs w:val="24"/>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William Lei Ding</w:t>
            </w:r>
          </w:p>
        </w:tc>
        <w:tc>
          <w:tcPr>
            <w:tcW w:w="40" w:type="dxa"/>
            <w:vAlign w:val="bottom"/>
          </w:tcPr>
          <w:p>
            <w:pPr>
              <w:spacing w:after="0"/>
              <w:rPr>
                <w:sz w:val="24"/>
                <w:szCs w:val="24"/>
                <w:color w:val="auto"/>
              </w:rPr>
            </w:pPr>
          </w:p>
        </w:tc>
      </w:tr>
      <w:tr>
        <w:trPr>
          <w:trHeight w:val="182"/>
        </w:trPr>
        <w:tc>
          <w:tcPr>
            <w:tcW w:w="6620" w:type="dxa"/>
            <w:vAlign w:val="bottom"/>
          </w:tcPr>
          <w:p>
            <w:pPr>
              <w:spacing w:after="0"/>
              <w:rPr>
                <w:sz w:val="15"/>
                <w:szCs w:val="15"/>
                <w:color w:val="auto"/>
              </w:rPr>
            </w:pPr>
          </w:p>
        </w:tc>
        <w:tc>
          <w:tcPr>
            <w:tcW w:w="740" w:type="dxa"/>
            <w:vAlign w:val="bottom"/>
            <w:gridSpan w:val="2"/>
          </w:tcPr>
          <w:p>
            <w:pPr>
              <w:ind w:left="240"/>
              <w:spacing w:after="0" w:line="182" w:lineRule="exact"/>
              <w:rPr>
                <w:sz w:val="20"/>
                <w:szCs w:val="20"/>
                <w:color w:val="auto"/>
              </w:rPr>
            </w:pPr>
            <w:r>
              <w:rPr>
                <w:rFonts w:ascii="Arial" w:cs="Arial" w:eastAsia="Arial" w:hAnsi="Arial"/>
                <w:sz w:val="18"/>
                <w:szCs w:val="18"/>
                <w:color w:val="auto"/>
                <w:w w:val="90"/>
              </w:rPr>
              <w:t>Name:</w:t>
            </w:r>
          </w:p>
        </w:tc>
        <w:tc>
          <w:tcPr>
            <w:tcW w:w="40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62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6620" w:type="dxa"/>
            <w:vAlign w:val="bottom"/>
          </w:tcPr>
          <w:p>
            <w:pPr>
              <w:ind w:left="5720"/>
              <w:spacing w:after="0"/>
              <w:rPr>
                <w:sz w:val="20"/>
                <w:szCs w:val="20"/>
                <w:color w:val="auto"/>
              </w:rPr>
            </w:pPr>
            <w:r>
              <w:rPr>
                <w:rFonts w:ascii="Arial" w:cs="Arial" w:eastAsia="Arial" w:hAnsi="Arial"/>
                <w:sz w:val="18"/>
                <w:szCs w:val="18"/>
                <w:b w:val="1"/>
                <w:bCs w:val="1"/>
                <w:color w:val="auto"/>
              </w:rPr>
              <w:t>Pledgor:</w:t>
            </w:r>
          </w:p>
        </w:tc>
        <w:tc>
          <w:tcPr>
            <w:tcW w:w="4800" w:type="dxa"/>
            <w:vAlign w:val="bottom"/>
            <w:gridSpan w:val="3"/>
          </w:tcPr>
          <w:p>
            <w:pPr>
              <w:ind w:left="240"/>
              <w:spacing w:after="0"/>
              <w:rPr>
                <w:sz w:val="20"/>
                <w:szCs w:val="20"/>
                <w:color w:val="auto"/>
              </w:rPr>
            </w:pPr>
            <w:r>
              <w:rPr>
                <w:rFonts w:ascii="Arial" w:cs="Arial" w:eastAsia="Arial" w:hAnsi="Arial"/>
                <w:sz w:val="18"/>
                <w:szCs w:val="18"/>
                <w:b w:val="1"/>
                <w:bCs w:val="1"/>
                <w:color w:val="auto"/>
              </w:rPr>
              <w:t>Xiaojun Hui</w:t>
            </w:r>
          </w:p>
        </w:tc>
        <w:tc>
          <w:tcPr>
            <w:tcW w:w="40" w:type="dxa"/>
            <w:vAlign w:val="bottom"/>
          </w:tcPr>
          <w:p>
            <w:pPr>
              <w:spacing w:after="0"/>
              <w:rPr>
                <w:sz w:val="24"/>
                <w:szCs w:val="24"/>
                <w:color w:val="auto"/>
              </w:rPr>
            </w:pPr>
          </w:p>
        </w:tc>
      </w:tr>
      <w:tr>
        <w:trPr>
          <w:trHeight w:val="648"/>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Xiaojun Hui</w:t>
            </w:r>
          </w:p>
        </w:tc>
        <w:tc>
          <w:tcPr>
            <w:tcW w:w="40" w:type="dxa"/>
            <w:vAlign w:val="bottom"/>
          </w:tcPr>
          <w:p>
            <w:pPr>
              <w:spacing w:after="0"/>
              <w:rPr>
                <w:sz w:val="24"/>
                <w:szCs w:val="24"/>
                <w:color w:val="auto"/>
              </w:rPr>
            </w:pPr>
          </w:p>
        </w:tc>
      </w:tr>
      <w:tr>
        <w:trPr>
          <w:trHeight w:val="341"/>
        </w:trPr>
        <w:tc>
          <w:tcPr>
            <w:tcW w:w="66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4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b w:val="1"/>
                <w:bCs w:val="1"/>
                <w:color w:val="auto"/>
                <w:w w:val="93"/>
              </w:rPr>
              <w:t>Appendix I</w:t>
            </w:r>
          </w:p>
        </w:tc>
      </w:tr>
      <w:tr>
        <w:trPr>
          <w:trHeight w:val="20"/>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2160" w:type="dxa"/>
            <w:vAlign w:val="bottom"/>
          </w:tcPr>
          <w:p>
            <w:pPr>
              <w:spacing w:after="0"/>
              <w:rPr>
                <w:sz w:val="24"/>
                <w:szCs w:val="24"/>
                <w:color w:val="auto"/>
              </w:rPr>
            </w:pPr>
          </w:p>
        </w:tc>
        <w:tc>
          <w:tcPr>
            <w:tcW w:w="930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0"/>
              </w:rPr>
              <w:t>Basic Information of the Domestic Company</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Company Name:</w:t>
            </w:r>
          </w:p>
        </w:tc>
        <w:tc>
          <w:tcPr>
            <w:tcW w:w="9300" w:type="dxa"/>
            <w:vAlign w:val="bottom"/>
            <w:gridSpan w:val="3"/>
          </w:tcPr>
          <w:p>
            <w:pPr>
              <w:ind w:left="680"/>
              <w:spacing w:after="0"/>
              <w:rPr>
                <w:sz w:val="20"/>
                <w:szCs w:val="20"/>
                <w:color w:val="auto"/>
              </w:rPr>
            </w:pPr>
            <w:r>
              <w:rPr>
                <w:rFonts w:ascii="Arial" w:cs="Arial" w:eastAsia="Arial" w:hAnsi="Arial"/>
                <w:sz w:val="18"/>
                <w:szCs w:val="18"/>
                <w:color w:val="auto"/>
              </w:rPr>
              <w:t>Guangzhou NetEase Computer System Co., Ltd.</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Registered Address:</w:t>
            </w:r>
          </w:p>
        </w:tc>
        <w:tc>
          <w:tcPr>
            <w:tcW w:w="9300" w:type="dxa"/>
            <w:vAlign w:val="bottom"/>
            <w:gridSpan w:val="3"/>
          </w:tcPr>
          <w:p>
            <w:pPr>
              <w:ind w:left="680"/>
              <w:spacing w:after="0"/>
              <w:rPr>
                <w:sz w:val="20"/>
                <w:szCs w:val="20"/>
                <w:color w:val="auto"/>
              </w:rPr>
            </w:pPr>
            <w:r>
              <w:rPr>
                <w:rFonts w:ascii="Arial" w:cs="Arial" w:eastAsia="Arial" w:hAnsi="Arial"/>
                <w:sz w:val="18"/>
                <w:szCs w:val="18"/>
                <w:color w:val="auto"/>
              </w:rPr>
              <w:t>702A, No. 59 Jianzhong Road, Tianhe District, Guangzhou, Guangdong, PRC</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Registered Capital:</w:t>
            </w:r>
          </w:p>
        </w:tc>
        <w:tc>
          <w:tcPr>
            <w:tcW w:w="9300" w:type="dxa"/>
            <w:vAlign w:val="bottom"/>
            <w:gridSpan w:val="3"/>
          </w:tcPr>
          <w:p>
            <w:pPr>
              <w:ind w:left="680"/>
              <w:spacing w:after="0"/>
              <w:rPr>
                <w:sz w:val="20"/>
                <w:szCs w:val="20"/>
                <w:color w:val="auto"/>
              </w:rPr>
            </w:pPr>
            <w:r>
              <w:rPr>
                <w:rFonts w:ascii="Arial" w:cs="Arial" w:eastAsia="Arial" w:hAnsi="Arial"/>
                <w:sz w:val="18"/>
                <w:szCs w:val="18"/>
                <w:color w:val="auto"/>
              </w:rPr>
              <w:t>RMB 20,000,000 Yuan</w:t>
            </w: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Equity Structure:</w:t>
            </w:r>
          </w:p>
        </w:tc>
        <w:tc>
          <w:tcPr>
            <w:tcW w:w="9300" w:type="dxa"/>
            <w:vAlign w:val="bottom"/>
            <w:gridSpan w:val="3"/>
          </w:tcPr>
          <w:p>
            <w:pPr>
              <w:ind w:left="680"/>
              <w:spacing w:after="0"/>
              <w:rPr>
                <w:sz w:val="20"/>
                <w:szCs w:val="20"/>
                <w:color w:val="auto"/>
              </w:rPr>
            </w:pPr>
            <w:r>
              <w:rPr>
                <w:rFonts w:ascii="Arial" w:cs="Arial" w:eastAsia="Arial" w:hAnsi="Arial"/>
                <w:sz w:val="18"/>
                <w:szCs w:val="18"/>
                <w:color w:val="auto"/>
              </w:rPr>
              <w:t>Lei Ding — 99%</w:t>
            </w:r>
          </w:p>
        </w:tc>
      </w:tr>
      <w:tr>
        <w:trPr>
          <w:trHeight w:val="230"/>
        </w:trPr>
        <w:tc>
          <w:tcPr>
            <w:tcW w:w="2160" w:type="dxa"/>
            <w:vAlign w:val="bottom"/>
          </w:tcPr>
          <w:p>
            <w:pPr>
              <w:spacing w:after="0"/>
              <w:rPr>
                <w:sz w:val="20"/>
                <w:szCs w:val="20"/>
                <w:color w:val="auto"/>
              </w:rPr>
            </w:pPr>
          </w:p>
        </w:tc>
        <w:tc>
          <w:tcPr>
            <w:tcW w:w="9300" w:type="dxa"/>
            <w:vAlign w:val="bottom"/>
            <w:gridSpan w:val="3"/>
          </w:tcPr>
          <w:p>
            <w:pPr>
              <w:ind w:left="680"/>
              <w:spacing w:after="0"/>
              <w:rPr>
                <w:sz w:val="20"/>
                <w:szCs w:val="20"/>
                <w:color w:val="auto"/>
              </w:rPr>
            </w:pPr>
            <w:r>
              <w:rPr>
                <w:rFonts w:ascii="Arial" w:cs="Arial" w:eastAsia="Arial" w:hAnsi="Arial"/>
                <w:sz w:val="18"/>
                <w:szCs w:val="18"/>
                <w:color w:val="auto"/>
              </w:rPr>
              <w:t>Xiaojun Hui — 1%</w:t>
            </w:r>
          </w:p>
        </w:tc>
      </w:tr>
      <w:tr>
        <w:trPr>
          <w:trHeight w:val="348"/>
        </w:trPr>
        <w:tc>
          <w:tcPr>
            <w:tcW w:w="216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Power of Attorney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Xiaojun Hui, hereby irrevocably entrust _______________ as my authorized representative, to sign all legal documents necessary for NetEase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Technology (Beijing) Co., Ltd. as the pledgee to exercise its rights under the Equity Pledge Agreement entered into on ________________, 2014 by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NetEase Information Technology (Beijing) Co., Ltd. and me.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297561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SUBSIDIARIES AND VARIABLE INTEREST ENTITIES OF NETEASE,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Subsidiaries: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NetEase Interactive Entertainment Limited</w:t>
            </w:r>
          </w:p>
        </w:tc>
        <w:tc>
          <w:tcPr>
            <w:tcW w:w="2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British Virgin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Inc. (previously named Ujia.com, Inc.)</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Inc.</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(Hong Kong) Limited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NetEase Interactive Entertainment Limited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(Hong Kong) Limited (previously named Ujia (Hong Kong) Limited)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(Hong Kong) Limited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Langhe Technology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(Hangzhou) Network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Technology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Technology (Beijing)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Variable Interest Entities: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Ltd.(1)</w:t>
            </w:r>
          </w:p>
        </w:tc>
        <w:tc>
          <w:tcPr>
            <w:tcW w:w="2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Guangyitong Advertising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Hangzhou NetEase Leihuo Network Co., Ltd. (previously named Hangzhou Leihuo Network Co., Ltd.)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80" w:firstLine="8"/>
        <w:spacing w:after="0" w:line="308" w:lineRule="auto"/>
        <w:tabs>
          <w:tab w:leader="none" w:pos="65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Guangzhou NetEase Computer System Co., Ltd. also has a majority-owned subsidiary, Beijing NetEase Youdao Computer System Co., Ltd., and a wholly-owned subsidiary, Wangyibao Co., Ltd., both of which are incorporated under the laws of the People’s Republic of China.</w:t>
      </w:r>
    </w:p>
    <w:p>
      <w:pPr>
        <w:spacing w:after="0" w:line="146" w:lineRule="exact"/>
        <w:rPr>
          <w:rFonts w:ascii="Arial" w:cs="Arial" w:eastAsia="Arial" w:hAnsi="Arial"/>
          <w:sz w:val="17"/>
          <w:szCs w:val="17"/>
          <w:color w:val="auto"/>
        </w:rPr>
      </w:pPr>
    </w:p>
    <w:p>
      <w:pPr>
        <w:ind w:right="80" w:firstLine="8"/>
        <w:spacing w:after="0" w:line="255" w:lineRule="auto"/>
        <w:tabs>
          <w:tab w:leader="none" w:pos="6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Starting in August 2008, Blizzard Entertainment, Inc. (together with its affiliated companies) agreed to license certain online games to Shanghai EaseNet Network Technology Co., Ltd. for operation in the PRC. Shanghai EaseNet Network Technology Co., Ltd. is a People’s Republic of China company owned by William Lei Ding, our Chief Executive Officer, director and major shareholder and has contractual arrangements with the joint venture established between, and owned equally by, Blizzard Entertainment, Inc. (together with its affiliated companies) and us, and with us. The joint venture was established concurrently with the licensing of games from Blizzard Entertainment, Inc. (together with its affiliated companies) in August 2008 and provides technical services to Shanghai EaseNet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William Lei Ding, certify that:</w:t>
      </w:r>
    </w:p>
    <w:p>
      <w:pPr>
        <w:spacing w:after="0" w:line="225" w:lineRule="exact"/>
        <w:rPr>
          <w:sz w:val="20"/>
          <w:szCs w:val="20"/>
          <w:color w:val="auto"/>
        </w:rPr>
      </w:pPr>
    </w:p>
    <w:p>
      <w:pPr>
        <w:ind w:left="660" w:hanging="211"/>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25"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9"/>
        <w:spacing w:after="0" w:line="277" w:lineRule="auto"/>
        <w:tabs>
          <w:tab w:leader="none" w:pos="64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00" w:firstLine="449"/>
        <w:spacing w:after="0" w:line="264" w:lineRule="auto"/>
        <w:tabs>
          <w:tab w:leader="none" w:pos="64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27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283"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2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60" w:firstLine="449"/>
        <w:spacing w:after="0" w:line="308" w:lineRule="auto"/>
        <w:tabs>
          <w:tab w:leader="none" w:pos="62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27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2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spacing w:after="0"/>
              <w:rPr>
                <w:sz w:val="20"/>
                <w:szCs w:val="20"/>
                <w:color w:val="auto"/>
              </w:rPr>
            </w:pPr>
            <w:r>
              <w:rPr>
                <w:rFonts w:ascii="Arial" w:cs="Arial" w:eastAsia="Arial" w:hAnsi="Arial"/>
                <w:sz w:val="18"/>
                <w:szCs w:val="18"/>
                <w:color w:val="auto"/>
              </w:rPr>
              <w:t>April 24, 2015</w:t>
            </w:r>
          </w:p>
        </w:tc>
        <w:tc>
          <w:tcPr>
            <w:tcW w:w="5740" w:type="dxa"/>
            <w:vAlign w:val="bottom"/>
          </w:tcPr>
          <w:p>
            <w:pPr>
              <w:spacing w:after="0"/>
              <w:rPr>
                <w:sz w:val="20"/>
                <w:szCs w:val="20"/>
                <w:color w:val="auto"/>
              </w:rPr>
            </w:pP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740" w:type="dxa"/>
            <w:vAlign w:val="bottom"/>
          </w:tcPr>
          <w:p>
            <w:pPr>
              <w:spacing w:after="0"/>
              <w:rPr>
                <w:sz w:val="24"/>
                <w:szCs w:val="24"/>
                <w:color w:val="auto"/>
              </w:rPr>
            </w:pPr>
          </w:p>
        </w:tc>
      </w:tr>
      <w:tr>
        <w:trPr>
          <w:trHeight w:val="195"/>
        </w:trPr>
        <w:tc>
          <w:tcPr>
            <w:tcW w:w="6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740" w:type="dxa"/>
            <w:vAlign w:val="bottom"/>
          </w:tcPr>
          <w:p>
            <w:pPr>
              <w:spacing w:after="0"/>
              <w:rPr>
                <w:sz w:val="16"/>
                <w:szCs w:val="16"/>
                <w:color w:val="auto"/>
              </w:rPr>
            </w:pPr>
          </w:p>
        </w:tc>
      </w:tr>
      <w:tr>
        <w:trPr>
          <w:trHeight w:val="230"/>
        </w:trPr>
        <w:tc>
          <w:tcPr>
            <w:tcW w:w="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74" w:name="page175"/>
    <w:bookmarkEnd w:id="174"/>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Onward Choi, certify that:</w:t>
      </w:r>
    </w:p>
    <w:p>
      <w:pPr>
        <w:spacing w:after="0" w:line="225" w:lineRule="exact"/>
        <w:rPr>
          <w:sz w:val="20"/>
          <w:szCs w:val="20"/>
          <w:color w:val="auto"/>
        </w:rPr>
      </w:pPr>
    </w:p>
    <w:p>
      <w:pPr>
        <w:ind w:left="660" w:hanging="211"/>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25" w:lineRule="exact"/>
        <w:rPr>
          <w:rFonts w:ascii="Arial" w:cs="Arial" w:eastAsia="Arial" w:hAnsi="Arial"/>
          <w:sz w:val="18"/>
          <w:szCs w:val="18"/>
          <w:color w:val="auto"/>
        </w:rPr>
      </w:pPr>
    </w:p>
    <w:p>
      <w:pPr>
        <w:ind w:right="340" w:firstLine="449"/>
        <w:spacing w:after="0" w:line="342" w:lineRule="auto"/>
        <w:tabs>
          <w:tab w:leader="none" w:pos="643" w:val="left"/>
        </w:tabs>
        <w:numPr>
          <w:ilvl w:val="0"/>
          <w:numId w:val="3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9"/>
        <w:spacing w:after="0" w:line="277" w:lineRule="auto"/>
        <w:tabs>
          <w:tab w:leader="none" w:pos="64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00" w:firstLine="449"/>
        <w:spacing w:after="0" w:line="264" w:lineRule="auto"/>
        <w:tabs>
          <w:tab w:leader="none" w:pos="64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180" w:right="80" w:hanging="524"/>
        <w:spacing w:after="0" w:line="264" w:lineRule="auto"/>
        <w:tabs>
          <w:tab w:leader="none" w:pos="117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380" w:hanging="524"/>
        <w:spacing w:after="0" w:line="264" w:lineRule="auto"/>
        <w:tabs>
          <w:tab w:leader="none" w:pos="118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80" w:right="560" w:hanging="524"/>
        <w:spacing w:after="0" w:line="342" w:lineRule="auto"/>
        <w:tabs>
          <w:tab w:leader="none" w:pos="118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80" w:right="160" w:hanging="524"/>
        <w:spacing w:after="0" w:line="264" w:lineRule="auto"/>
        <w:tabs>
          <w:tab w:leader="none" w:pos="118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40" w:firstLine="449"/>
        <w:spacing w:after="0" w:line="308" w:lineRule="auto"/>
        <w:tabs>
          <w:tab w:leader="none" w:pos="64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180" w:right="800" w:hanging="524"/>
        <w:spacing w:after="0" w:line="342" w:lineRule="auto"/>
        <w:tabs>
          <w:tab w:leader="none" w:pos="1172" w:val="left"/>
        </w:tabs>
        <w:numPr>
          <w:ilvl w:val="1"/>
          <w:numId w:val="3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180" w:right="500" w:hanging="524"/>
        <w:spacing w:after="0" w:line="277" w:lineRule="auto"/>
        <w:tabs>
          <w:tab w:leader="none" w:pos="118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spacing w:after="0"/>
              <w:rPr>
                <w:sz w:val="20"/>
                <w:szCs w:val="20"/>
                <w:color w:val="auto"/>
              </w:rPr>
            </w:pPr>
            <w:r>
              <w:rPr>
                <w:rFonts w:ascii="Arial" w:cs="Arial" w:eastAsia="Arial" w:hAnsi="Arial"/>
                <w:sz w:val="18"/>
                <w:szCs w:val="18"/>
                <w:color w:val="auto"/>
              </w:rPr>
              <w:t>April 24, 2015</w:t>
            </w:r>
          </w:p>
        </w:tc>
        <w:tc>
          <w:tcPr>
            <w:tcW w:w="5740" w:type="dxa"/>
            <w:vAlign w:val="bottom"/>
          </w:tcPr>
          <w:p>
            <w:pPr>
              <w:spacing w:after="0"/>
              <w:rPr>
                <w:sz w:val="20"/>
                <w:szCs w:val="20"/>
                <w:color w:val="auto"/>
              </w:rPr>
            </w:pP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c>
          <w:tcPr>
            <w:tcW w:w="5740" w:type="dxa"/>
            <w:vAlign w:val="bottom"/>
          </w:tcPr>
          <w:p>
            <w:pPr>
              <w:spacing w:after="0"/>
              <w:rPr>
                <w:sz w:val="24"/>
                <w:szCs w:val="24"/>
                <w:color w:val="auto"/>
              </w:rPr>
            </w:pPr>
          </w:p>
        </w:tc>
      </w:tr>
      <w:tr>
        <w:trPr>
          <w:trHeight w:val="195"/>
        </w:trPr>
        <w:tc>
          <w:tcPr>
            <w:tcW w:w="6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Onward Choi</w:t>
            </w:r>
          </w:p>
        </w:tc>
        <w:tc>
          <w:tcPr>
            <w:tcW w:w="57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Acting Chief Financial Officer</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508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75" w:name="page176"/>
    <w:bookmarkEnd w:id="175"/>
    <w:p>
      <w:pPr>
        <w:ind w:left="10480"/>
        <w:spacing w:after="0"/>
        <w:rPr>
          <w:sz w:val="20"/>
          <w:szCs w:val="20"/>
          <w:color w:val="auto"/>
        </w:rPr>
      </w:pPr>
      <w:r>
        <w:rPr>
          <w:rFonts w:ascii="Arial" w:cs="Arial" w:eastAsia="Arial" w:hAnsi="Arial"/>
          <w:sz w:val="17"/>
          <w:szCs w:val="17"/>
          <w:b w:val="1"/>
          <w:bCs w:val="1"/>
          <w:color w:val="auto"/>
        </w:rPr>
        <w:t>Exhibit 13.1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2014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81" w:lineRule="exact"/>
        <w:rPr>
          <w:sz w:val="20"/>
          <w:szCs w:val="20"/>
          <w:color w:val="auto"/>
        </w:rPr>
      </w:pPr>
    </w:p>
    <w:p>
      <w:pPr>
        <w:ind w:left="180" w:hanging="172"/>
        <w:spacing w:after="0"/>
        <w:tabs>
          <w:tab w:leader="none" w:pos="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right="60" w:firstLine="8"/>
        <w:spacing w:after="0" w:line="277" w:lineRule="auto"/>
        <w:tabs>
          <w:tab w:leader="none" w:pos="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April 24, 2015</w:t>
            </w:r>
          </w:p>
        </w:tc>
        <w:tc>
          <w:tcPr>
            <w:tcW w:w="5740" w:type="dxa"/>
            <w:vAlign w:val="bottom"/>
          </w:tcPr>
          <w:p>
            <w:pPr>
              <w:spacing w:after="0"/>
              <w:rPr>
                <w:sz w:val="20"/>
                <w:szCs w:val="20"/>
                <w:color w:val="auto"/>
              </w:rPr>
            </w:pP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740" w:type="dxa"/>
            <w:vAlign w:val="bottom"/>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7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7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76" w:name="page177"/>
    <w:bookmarkEnd w:id="176"/>
    <w:p>
      <w:pPr>
        <w:ind w:left="10480"/>
        <w:spacing w:after="0"/>
        <w:rPr>
          <w:sz w:val="20"/>
          <w:szCs w:val="20"/>
          <w:color w:val="auto"/>
        </w:rPr>
      </w:pPr>
      <w:r>
        <w:rPr>
          <w:rFonts w:ascii="Arial" w:cs="Arial" w:eastAsia="Arial" w:hAnsi="Arial"/>
          <w:sz w:val="17"/>
          <w:szCs w:val="17"/>
          <w:b w:val="1"/>
          <w:bCs w:val="1"/>
          <w:color w:val="auto"/>
        </w:rPr>
        <w:t>Exhibit 13.2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2014 as filed with the Securities and Exchange Commission (the “Report”), I, Onward Choi, the Acting Chief Financial Officer of the Company, hereby certify as of the date hereof, solely for purposes of Title 18, Chapter 63, Section 1350 of the United States Code, that to the best of my knowledge:</w:t>
      </w:r>
    </w:p>
    <w:p>
      <w:pPr>
        <w:spacing w:after="0" w:line="181" w:lineRule="exact"/>
        <w:rPr>
          <w:sz w:val="20"/>
          <w:szCs w:val="20"/>
          <w:color w:val="auto"/>
        </w:rPr>
      </w:pPr>
    </w:p>
    <w:p>
      <w:pPr>
        <w:ind w:left="180" w:hanging="172"/>
        <w:spacing w:after="0"/>
        <w:tabs>
          <w:tab w:leader="none" w:pos="1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right="60" w:firstLine="8"/>
        <w:spacing w:after="0" w:line="277" w:lineRule="auto"/>
        <w:tabs>
          <w:tab w:leader="none" w:pos="1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April 24, 2015</w:t>
            </w:r>
          </w:p>
        </w:tc>
        <w:tc>
          <w:tcPr>
            <w:tcW w:w="5740" w:type="dxa"/>
            <w:vAlign w:val="bottom"/>
          </w:tcPr>
          <w:p>
            <w:pPr>
              <w:spacing w:after="0"/>
              <w:rPr>
                <w:sz w:val="20"/>
                <w:szCs w:val="20"/>
                <w:color w:val="auto"/>
              </w:rPr>
            </w:pP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c>
          <w:tcPr>
            <w:tcW w:w="5740" w:type="dxa"/>
            <w:vAlign w:val="bottom"/>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Onward Choi</w:t>
            </w:r>
          </w:p>
        </w:tc>
        <w:tc>
          <w:tcPr>
            <w:tcW w:w="57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Acting Chief Financial Officer</w:t>
            </w:r>
          </w:p>
        </w:tc>
        <w:tc>
          <w:tcPr>
            <w:tcW w:w="5740" w:type="dxa"/>
            <w:vAlign w:val="bottom"/>
          </w:tcPr>
          <w:p>
            <w:pPr>
              <w:spacing w:after="0"/>
              <w:rPr>
                <w:sz w:val="20"/>
                <w:szCs w:val="20"/>
                <w:color w:val="auto"/>
              </w:rPr>
            </w:pPr>
          </w:p>
        </w:tc>
      </w:tr>
      <w:tr>
        <w:trPr>
          <w:trHeight w:val="348"/>
        </w:trPr>
        <w:tc>
          <w:tcPr>
            <w:tcW w:w="7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AUTHORITY AND PURPOSE</w:t>
      </w:r>
    </w:p>
    <w:p>
      <w:pPr>
        <w:spacing w:after="0" w:line="229"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Audit Committee of NetEase, Inc. (the “Company”) is appointed by the Company’s Board of Directors (the “Board”) to oversee the accounting and financial reporting processes, internal controls over financial reporting and audits of the financial statements of the Company. The Audit Committee (the “Committee”) shall undertake those specific duties and responsibilities listed below and such other duties as the Board shall from time to time prescribe. All powers of the Committee are subject to the restrictions designated in the Company’s Memorandum and Articles of Association and applicable law.</w:t>
      </w:r>
    </w:p>
    <w:p>
      <w:pPr>
        <w:spacing w:after="0" w:line="15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Company shall provide the Committee with appropriate funding, as determined by the Committee in its capacity as a committee of the Board, for the payments of: (i) compensation to any registered public accounting firm engaged for the purpose of preparing or issuing an audit report or performing other audit, review or attest services for the Company; (ii) compensation to any independent advisers retained by the Committee in carrying out its duties; and</w:t>
      </w:r>
    </w:p>
    <w:p>
      <w:pPr>
        <w:ind w:left="320" w:hanging="312"/>
        <w:spacing w:after="0"/>
        <w:tabs>
          <w:tab w:leader="none" w:pos="3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ordinary administrative expenses of the Committee that are necessary or appropriate in carrying out its duties.</w:t>
      </w:r>
    </w:p>
    <w:p>
      <w:pPr>
        <w:spacing w:after="0" w:line="206" w:lineRule="exact"/>
        <w:rPr>
          <w:rFonts w:ascii="Arial" w:cs="Arial" w:eastAsia="Arial" w:hAnsi="Arial"/>
          <w:sz w:val="18"/>
          <w:szCs w:val="18"/>
          <w:color w:val="auto"/>
        </w:rPr>
      </w:pPr>
    </w:p>
    <w:p>
      <w:pPr>
        <w:ind w:left="4640"/>
        <w:spacing w:after="0"/>
        <w:rPr>
          <w:rFonts w:ascii="Arial" w:cs="Arial" w:eastAsia="Arial" w:hAnsi="Arial"/>
          <w:sz w:val="18"/>
          <w:szCs w:val="18"/>
          <w:color w:val="auto"/>
        </w:rPr>
      </w:pPr>
      <w:r>
        <w:rPr>
          <w:rFonts w:ascii="Arial" w:cs="Arial" w:eastAsia="Arial" w:hAnsi="Arial"/>
          <w:sz w:val="18"/>
          <w:szCs w:val="18"/>
          <w:b w:val="1"/>
          <w:bCs w:val="1"/>
          <w:color w:val="auto"/>
        </w:rPr>
        <w:t>STATEMENT OF POLICY</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Committee shall oversee the accounting and financial reporting processes, internal controls over financial reporting and audits of the financial statements of the Company. In so doing, the Committee shall endeavor to maintain free and open means of communication among the directors, the independent auditors and the financial management of the Company. In addition, the Committee shall review the policies and procedures adopted by the Company to fulfill its responsibilities regarding the fair and accurate presentation of financial statements in accordance with generally accepted accounting principles and applicable rules and regulations of the Securities and Exchange Commission and the Financial Industry Regulatory Authority (“FINRA”) applicable to a Nasdaq listed issuer.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 STRUCTURE AND MEMBERSHIP</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Committee shall be comprised of three or more directors, as determined by a majority of the Board. The Committee members shall be designated by the Board, and any director of the Board may summon a meeting and nominate a member for the Committee, subject to the provisions of the Company’s Memorandum and Articles of Association. The term of each member shall extend until the earlier of the date a majority of the Board determines to remove such member, the member resigns from the Committee or the member ceases to be a director of the Company for whatever reason. If a vacancy on the Committee arises and a suitable replacement candidate agrees to join the Committee, such vacancy shall be filled by majority vote of the Board at the next meeting of the Board following the occurrence of the vacancy or by action taken by unanimous written consent of the Board. The Board shall use its best efforts to fill any such vacancy within three months of the date the vacancy arises. The members of the Committee may be removed by a majority vote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member of the Committee shall be an independent director. For purposes hereof, an “independent director” shall be one:</w:t>
      </w:r>
    </w:p>
    <w:p>
      <w:pPr>
        <w:spacing w:after="0" w:line="225" w:lineRule="exact"/>
        <w:rPr>
          <w:sz w:val="20"/>
          <w:szCs w:val="20"/>
          <w:color w:val="auto"/>
        </w:rPr>
      </w:pPr>
    </w:p>
    <w:p>
      <w:pPr>
        <w:ind w:left="1300" w:right="420" w:hanging="644"/>
        <w:spacing w:after="0" w:line="308" w:lineRule="auto"/>
        <w:tabs>
          <w:tab w:leader="none" w:pos="13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who accepts no consulting, advisory or other compensatory fee from the Company other than in his or her capacity as a member of the Committee, the Board or any other committee of the Board or is not otherwise an affiliated person of the Company,</w:t>
      </w:r>
    </w:p>
    <w:p>
      <w:pPr>
        <w:spacing w:after="0" w:line="146" w:lineRule="exact"/>
        <w:rPr>
          <w:rFonts w:ascii="Arial" w:cs="Arial" w:eastAsia="Arial" w:hAnsi="Arial"/>
          <w:sz w:val="17"/>
          <w:szCs w:val="17"/>
          <w:color w:val="auto"/>
        </w:rPr>
      </w:pPr>
    </w:p>
    <w:p>
      <w:pPr>
        <w:ind w:left="1300" w:right="160" w:hanging="644"/>
        <w:spacing w:after="0" w:line="277" w:lineRule="auto"/>
        <w:tabs>
          <w:tab w:leader="none" w:pos="13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who is free from any relationship that, in the opinion of the Board, would interfere with the exercise of his or her independent judgment in carrying out the responsibilities of a director, and</w:t>
      </w:r>
    </w:p>
    <w:p>
      <w:pPr>
        <w:spacing w:after="0" w:line="170" w:lineRule="exact"/>
        <w:rPr>
          <w:rFonts w:ascii="Arial" w:cs="Arial" w:eastAsia="Arial" w:hAnsi="Arial"/>
          <w:sz w:val="18"/>
          <w:szCs w:val="18"/>
          <w:color w:val="auto"/>
        </w:rPr>
      </w:pPr>
    </w:p>
    <w:p>
      <w:pPr>
        <w:ind w:left="1300" w:right="60" w:hanging="644"/>
        <w:spacing w:after="0" w:line="279" w:lineRule="auto"/>
        <w:tabs>
          <w:tab w:leader="none" w:pos="13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who otherwise satisfies the then current laws applicable to members of the audit committee of the Company and the listing rules of any securities exchange or securities quotation system on which any of the Company’s securities are listed, including, without limitation, the criteria for independence set forth in Rule 10A-3(b)(1) promulgated under the Securities and Exchange Act of 1934, as amended, subject to the exemptions provided in Rule 10A-3(c) under the Act, and the FINRA Marketplace Rules.</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Board shall use its best efforts to ensure that at least one member of the Committee shall be a “financial expert,” as defined by Section 407 of the Sarbanes-Oxley Act of 2002, having an understanding of generally accepted accounting principles and financial statements, experience in the preparation or auditing of financial statements of companies generally comparable to the Company, experience in the application of generally accepted accounting principles in connection with the accounting for estimates, accruals and reserves, experience with internal controls over financial reporting and an understanding of audit committee functions.</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Each member of the Committee shall be able to read and understand fundamental financial statements in accordance with the rules of FINRA applicable to Nasdaq listed issuers. At least one member shall have past employment experience in finance or accounting, a professional certification in accounting or other comparable experience or background that results in the individual’s possessing the requisite financial sophistication, including a current or past position as a chief executive or financial officer or other senior officer with financial oversight responsibilities.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Committee shall have the power to conduct or authorize investigations into any matters within the Committee’s scope of responsibilities. The Committee shall be empowered to engage independent counsel and other advisers, as it determines necessary to carry out its duties. 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Those tasks are the responsibility of management and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95" w:gutter="0" w:footer="0" w:header="0"/>
        </w:sectPr>
      </w:pPr>
    </w:p>
    <w:bookmarkStart w:id="178" w:name="page179"/>
    <w:bookmarkEnd w:id="178"/>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RESPONSIBILITIES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Committee’s policies and procedures should remain flexible, in order to best react to changing conditions and to ensure to the Board and the Company’s stockholders that the corporate accounting and reporting practices of the Company are in accordance with all requirements and are of the highest quality.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meeting its responsibilities, the Committee is expected to:</w:t>
      </w:r>
    </w:p>
    <w:p>
      <w:pPr>
        <w:spacing w:after="0" w:line="225" w:lineRule="exact"/>
        <w:rPr>
          <w:sz w:val="20"/>
          <w:szCs w:val="20"/>
          <w:color w:val="auto"/>
        </w:rPr>
      </w:pPr>
    </w:p>
    <w:p>
      <w:pPr>
        <w:ind w:left="1300" w:hanging="644"/>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annually.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 respect to the Company’s independent auditors:</w:t>
      </w:r>
    </w:p>
    <w:p>
      <w:pPr>
        <w:spacing w:after="0" w:line="225" w:lineRule="exact"/>
        <w:rPr>
          <w:rFonts w:ascii="Arial" w:cs="Arial" w:eastAsia="Arial" w:hAnsi="Arial"/>
          <w:sz w:val="18"/>
          <w:szCs w:val="18"/>
          <w:color w:val="auto"/>
        </w:rPr>
      </w:pPr>
    </w:p>
    <w:p>
      <w:pPr>
        <w:ind w:left="1960" w:right="40" w:hanging="655"/>
        <w:spacing w:after="0" w:line="255" w:lineRule="auto"/>
        <w:tabs>
          <w:tab w:leader="none" w:pos="195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Appoint the Company’s independent auditors, determine its compensation and oversee its work. The Committee shall preapprove all auditing services (including the provision of comfort letters) and non-audit services provided by the independent auditors to the Company and consider whether such services are permissible under applicable law. The Committee may delegate to one or more designated Committee members the authority to grant preapprovals required by the foregoing sentence. The decisions of any Committee member to whom authority is delegated hereunder shall be presented to the Committee at each of its scheduled meetings. The independent auditors shall be ultimately accountable to the Board and to the Committee as representatives of the Company’s stockholders.</w:t>
      </w:r>
    </w:p>
    <w:p>
      <w:pPr>
        <w:spacing w:after="0" w:line="189" w:lineRule="exact"/>
        <w:rPr>
          <w:rFonts w:ascii="Arial" w:cs="Arial" w:eastAsia="Arial" w:hAnsi="Arial"/>
          <w:sz w:val="18"/>
          <w:szCs w:val="18"/>
          <w:color w:val="auto"/>
        </w:rPr>
      </w:pPr>
    </w:p>
    <w:p>
      <w:pPr>
        <w:ind w:left="1960" w:right="220" w:hanging="655"/>
        <w:spacing w:after="0" w:line="277" w:lineRule="auto"/>
        <w:tabs>
          <w:tab w:leader="none" w:pos="19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With respect to any tax service(s) to be provided by the Company’s independent auditors that are not otherwise prohibited under applicable laws, rules or regulations:</w:t>
      </w:r>
    </w:p>
    <w:p>
      <w:pPr>
        <w:spacing w:after="0" w:line="170" w:lineRule="exact"/>
        <w:rPr>
          <w:rFonts w:ascii="Arial" w:cs="Arial" w:eastAsia="Arial" w:hAnsi="Arial"/>
          <w:sz w:val="18"/>
          <w:szCs w:val="18"/>
          <w:color w:val="auto"/>
        </w:rPr>
      </w:pPr>
    </w:p>
    <w:p>
      <w:pPr>
        <w:ind w:left="2520" w:right="60" w:hanging="567"/>
        <w:spacing w:after="0" w:line="272" w:lineRule="auto"/>
        <w:tabs>
          <w:tab w:leader="none" w:pos="2541" w:val="left"/>
        </w:tabs>
        <w:numPr>
          <w:ilvl w:val="2"/>
          <w:numId w:val="333"/>
        </w:numPr>
        <w:rPr>
          <w:rFonts w:ascii="Arial" w:cs="Arial" w:eastAsia="Arial" w:hAnsi="Arial"/>
          <w:sz w:val="17"/>
          <w:szCs w:val="17"/>
          <w:color w:val="auto"/>
        </w:rPr>
      </w:pPr>
      <w:r>
        <w:rPr>
          <w:rFonts w:ascii="Arial" w:cs="Arial" w:eastAsia="Arial" w:hAnsi="Arial"/>
          <w:sz w:val="17"/>
          <w:szCs w:val="17"/>
          <w:color w:val="auto"/>
        </w:rPr>
        <w:t>Prior to approving such service(s), the Committee shall: (x) review a written description of the scope of the work, fee arrangement and any related arrangements or agreements that would affect the scope or fee from the independent auditors, and (y) discuss with the independent auditors the potential effect of the proposed tax service(s) on such auditors’ independence. The Committee shall confirm with the independent auditors that, prior to such discussion, the independent auditors evaluated the tax service(s) under the rules of the Public Company Accounting Oversight Board (the “PCAOB”), including PCAOB Rule 3522 (Tax Transactions) and PCAOB Rule 3523 (Tax Services for Persons in Financial Reporting Oversight Roles) and any other relevant rules then in effect.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2560" w:hanging="607"/>
        <w:spacing w:after="0"/>
        <w:tabs>
          <w:tab w:leader="none" w:pos="2560" w:val="left"/>
        </w:tabs>
        <w:numPr>
          <w:ilvl w:val="2"/>
          <w:numId w:val="333"/>
        </w:numPr>
        <w:rPr>
          <w:rFonts w:ascii="Arial" w:cs="Arial" w:eastAsia="Arial" w:hAnsi="Arial"/>
          <w:sz w:val="17"/>
          <w:szCs w:val="17"/>
          <w:color w:val="auto"/>
        </w:rPr>
      </w:pPr>
      <w:r>
        <w:rPr>
          <w:rFonts w:ascii="Arial" w:cs="Arial" w:eastAsia="Arial" w:hAnsi="Arial"/>
          <w:sz w:val="17"/>
          <w:szCs w:val="17"/>
          <w:color w:val="auto"/>
        </w:rPr>
        <w:t>The Committee shall confirm that the independent auditors have documented the discussion referenced in clause (i)</w:t>
      </w:r>
    </w:p>
    <w:p>
      <w:pPr>
        <w:spacing w:after="0" w:line="34" w:lineRule="exact"/>
        <w:rPr>
          <w:rFonts w:ascii="Arial" w:cs="Arial" w:eastAsia="Arial" w:hAnsi="Arial"/>
          <w:sz w:val="17"/>
          <w:szCs w:val="17"/>
          <w:color w:val="auto"/>
        </w:rPr>
      </w:pPr>
    </w:p>
    <w:p>
      <w:pPr>
        <w:ind w:left="2780" w:hanging="260"/>
        <w:spacing w:after="0"/>
        <w:tabs>
          <w:tab w:leader="none" w:pos="2780" w:val="left"/>
        </w:tabs>
        <w:numPr>
          <w:ilvl w:val="3"/>
          <w:numId w:val="333"/>
        </w:numPr>
        <w:rPr>
          <w:rFonts w:ascii="Arial" w:cs="Arial" w:eastAsia="Arial" w:hAnsi="Arial"/>
          <w:sz w:val="17"/>
          <w:szCs w:val="17"/>
          <w:color w:val="auto"/>
        </w:rPr>
      </w:pPr>
      <w:r>
        <w:rPr>
          <w:rFonts w:ascii="Arial" w:cs="Arial" w:eastAsia="Arial" w:hAnsi="Arial"/>
          <w:sz w:val="17"/>
          <w:szCs w:val="17"/>
          <w:color w:val="auto"/>
        </w:rPr>
        <w:t>above in writing in accordance with PCAOB Rule 3524 (Audit Committee Pre-approval of Certain Tax Services).</w:t>
      </w:r>
    </w:p>
    <w:p>
      <w:pPr>
        <w:spacing w:after="0" w:line="222" w:lineRule="exact"/>
        <w:rPr>
          <w:rFonts w:ascii="Arial" w:cs="Arial" w:eastAsia="Arial" w:hAnsi="Arial"/>
          <w:sz w:val="17"/>
          <w:szCs w:val="17"/>
          <w:color w:val="auto"/>
        </w:rPr>
      </w:pPr>
    </w:p>
    <w:p>
      <w:pPr>
        <w:ind w:left="1960" w:right="120" w:hanging="655"/>
        <w:spacing w:after="0" w:line="291" w:lineRule="auto"/>
        <w:tabs>
          <w:tab w:leader="none" w:pos="1963" w:val="left"/>
        </w:tabs>
        <w:numPr>
          <w:ilvl w:val="1"/>
          <w:numId w:val="333"/>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auditors, including a review of management consulting services provided by the independent auditors and related fees. The Committee shall require the independent auditors at least annually to provide a formal written statement delineating all relationships between the independent auditors and the Company consistent with the rules of FINRA applicable to Nasdaq listed issuers and request information from the independent auditors and management to determine the presence or absence of a conflict of interest. The Committee shall actively engage the auditors in a dialogue with respect to any disclosed relationships or services that may impact the objectivity and independence of the auditors. The Committee shall take, or recommend that the full Board take, appropriate action to oversee the independence of the auditors.</w:t>
      </w:r>
    </w:p>
    <w:p>
      <w:pPr>
        <w:spacing w:after="0" w:line="167" w:lineRule="exact"/>
        <w:rPr>
          <w:rFonts w:ascii="Arial" w:cs="Arial" w:eastAsia="Arial" w:hAnsi="Arial"/>
          <w:sz w:val="16"/>
          <w:szCs w:val="16"/>
          <w:color w:val="auto"/>
        </w:rPr>
      </w:pPr>
    </w:p>
    <w:p>
      <w:pPr>
        <w:ind w:left="1960" w:right="120" w:hanging="655"/>
        <w:spacing w:after="0" w:line="264" w:lineRule="auto"/>
        <w:tabs>
          <w:tab w:leader="none" w:pos="19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Ensure the regular rotation of the lead audit partner and other members of the engagement team to the extent required by law, and further consider whether, in order to ensure continuing auditor independence, there should be regular rotation of the independent auditing firm itself.</w:t>
      </w:r>
    </w:p>
    <w:p>
      <w:pPr>
        <w:spacing w:after="0" w:line="181" w:lineRule="exact"/>
        <w:rPr>
          <w:rFonts w:ascii="Arial" w:cs="Arial" w:eastAsia="Arial" w:hAnsi="Arial"/>
          <w:sz w:val="18"/>
          <w:szCs w:val="18"/>
          <w:color w:val="auto"/>
        </w:rPr>
      </w:pPr>
    </w:p>
    <w:p>
      <w:pPr>
        <w:ind w:left="1960" w:right="360" w:hanging="655"/>
        <w:spacing w:after="0" w:line="264" w:lineRule="auto"/>
        <w:tabs>
          <w:tab w:leader="none" w:pos="1963"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Set clear policies for the Company’s hiring of employees or former employees of the independent auditor. Additionally, make inquiries to confirm that controls and required approvals are in place to prevent the Company from engaging the independent auditors in any services that might impact their independence.</w:t>
      </w:r>
    </w:p>
    <w:p>
      <w:pPr>
        <w:spacing w:after="0" w:line="181"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Review with management: (i) the scope and responsibilities of an internal audit department, (ii) the appointment, replacement, reassignment or dismissal of an internal audit department manager or director, (iii) the qualifications and experience of any staff of the internal audit department at or above the level of manager, (iv) the internal audit function for performance, sufficiency and effectiveness, (v) the annual budget and work plan for the internal audit department, (vi) the persons within the Company’s senior management and the Committee to whom the internal audit department manager or director shall directly report, (vii) the nature and frequency of reports from the internal audit department manager or director to the Company’s senior management and the Committee and (viii) the internal audit department’s interaction with the independent auditors in developing and implementing the audit plan. The Committee shall work with management to reach a consensus on the foregoing.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1300" w:right="180" w:hanging="644"/>
        <w:spacing w:after="0" w:line="257" w:lineRule="auto"/>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 and discuss with management, before release: (i) the audited financial statements and the Management’s Discussion and Analysis proposed to be included in the Company’s Annual Report on Form 20-F and (ii) if deemed appropriate by the Committee, any other publicly disclosed financial information of the Company, including without limitation quarterly earnings press releases. The Committee shall also make a recommendation to the Board whether or not the audited financial statements should be included in the Company’s Annual Report on Form 20-F.</w:t>
      </w:r>
    </w:p>
    <w:p>
      <w:pPr>
        <w:spacing w:after="0" w:line="188" w:lineRule="exact"/>
        <w:rPr>
          <w:rFonts w:ascii="Arial" w:cs="Arial" w:eastAsia="Arial" w:hAnsi="Arial"/>
          <w:sz w:val="18"/>
          <w:szCs w:val="18"/>
          <w:color w:val="auto"/>
        </w:rPr>
      </w:pPr>
    </w:p>
    <w:p>
      <w:pPr>
        <w:ind w:left="1300" w:right="180" w:hanging="644"/>
        <w:spacing w:after="0" w:line="257" w:lineRule="auto"/>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consultation with management, cooperate with, and to the extent deemed appropriate by the members of the Committee, oversee, the members of any internal disclosure control task force or other group within the Company which is charged with gathering information for the Company’s public reports and filings, considering the materiality of such information and determining disclosure obligations, and consider and respond to any issues and deficiencies relating to the Company’s disclosure controls and procedures which are identified by management or such internal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-6201410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11" w:orient="portrait"/>
          <w:cols w:equalWidth="0" w:num="1">
            <w:col w:w="11400"/>
          </w:cols>
          <w:pgMar w:left="240" w:top="121" w:right="259" w:bottom="0" w:gutter="0" w:footer="0" w:header="0"/>
        </w:sectPr>
      </w:pPr>
    </w:p>
    <w:bookmarkStart w:id="179" w:name="page180"/>
    <w:bookmarkEnd w:id="179"/>
    <w:p>
      <w:pPr>
        <w:ind w:left="644" w:right="140" w:hanging="644"/>
        <w:spacing w:after="0" w:line="264"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Committee shall discuss with management, the internal auditors and the independent auditors management’s process for assessing the effectiveness of internal control over financial reporting under Section 404 of the Sarbanes-Oxley Act of 2002, including any significant deficiencies or material weaknesses identified.</w:t>
      </w:r>
    </w:p>
    <w:p>
      <w:pPr>
        <w:spacing w:after="0" w:line="181" w:lineRule="exact"/>
        <w:rPr>
          <w:rFonts w:ascii="Arial" w:cs="Arial" w:eastAsia="Arial" w:hAnsi="Arial"/>
          <w:sz w:val="18"/>
          <w:szCs w:val="18"/>
          <w:color w:val="auto"/>
        </w:rPr>
      </w:pPr>
    </w:p>
    <w:p>
      <w:pPr>
        <w:ind w:left="644" w:right="460" w:hanging="644"/>
        <w:spacing w:after="0" w:line="277"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Review and discuss with management the Company’s disclosure in its filings with the Securities and Exchange Commission prepared pursuant Section 302 of the Sarbanes-Oxley Act of 2002.</w:t>
      </w:r>
    </w:p>
    <w:p>
      <w:pPr>
        <w:spacing w:after="0" w:line="170"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consultation with the independent auditors, the internal audit department, if any, and management, consider and review at the completion of the annual examinations and such other times as the Committee may deem appropriate:</w:t>
      </w:r>
    </w:p>
    <w:p>
      <w:pPr>
        <w:spacing w:after="0" w:line="170" w:lineRule="exact"/>
        <w:rPr>
          <w:rFonts w:ascii="Arial" w:cs="Arial" w:eastAsia="Arial" w:hAnsi="Arial"/>
          <w:sz w:val="18"/>
          <w:szCs w:val="18"/>
          <w:color w:val="auto"/>
        </w:rPr>
      </w:pPr>
    </w:p>
    <w:p>
      <w:pPr>
        <w:ind w:left="1284" w:hanging="635"/>
        <w:spacing w:after="0"/>
        <w:tabs>
          <w:tab w:leader="none" w:pos="128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Company’s annual financial statements and related notes.</w:t>
      </w:r>
    </w:p>
    <w:p>
      <w:pPr>
        <w:spacing w:after="0" w:line="225" w:lineRule="exact"/>
        <w:rPr>
          <w:rFonts w:ascii="Arial" w:cs="Arial" w:eastAsia="Arial" w:hAnsi="Arial"/>
          <w:sz w:val="18"/>
          <w:szCs w:val="18"/>
          <w:color w:val="auto"/>
        </w:rPr>
      </w:pPr>
    </w:p>
    <w:p>
      <w:pPr>
        <w:ind w:left="1304" w:right="660" w:hanging="655"/>
        <w:spacing w:after="0" w:line="277" w:lineRule="auto"/>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independent auditors’ audit of the financial statements and their report thereon, including the scope of the audit of the Company’s internal controls over financial reporting and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304" w:right="160" w:hanging="655"/>
        <w:spacing w:after="0" w:line="277" w:lineRule="auto"/>
        <w:tabs>
          <w:tab w:leader="none" w:pos="130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independent auditors’ reports regarding critical accounting policies, alternative treatments of financial information and other material written communications between the independent auditors and management.</w:t>
      </w:r>
    </w:p>
    <w:p>
      <w:pPr>
        <w:spacing w:after="0" w:line="170" w:lineRule="exact"/>
        <w:rPr>
          <w:rFonts w:ascii="Arial" w:cs="Arial" w:eastAsia="Arial" w:hAnsi="Arial"/>
          <w:sz w:val="18"/>
          <w:szCs w:val="18"/>
          <w:color w:val="auto"/>
        </w:rPr>
      </w:pPr>
    </w:p>
    <w:p>
      <w:pPr>
        <w:ind w:left="1304" w:right="620" w:hanging="655"/>
        <w:spacing w:after="0" w:line="277" w:lineRule="auto"/>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deficiency in, or suggested improvement to, the procedures or practices employed by the Company as reported by the independent auditors in their annual management letter.</w:t>
      </w:r>
    </w:p>
    <w:p>
      <w:pPr>
        <w:spacing w:after="0" w:line="170" w:lineRule="exact"/>
        <w:rPr>
          <w:rFonts w:ascii="Arial" w:cs="Arial" w:eastAsia="Arial" w:hAnsi="Arial"/>
          <w:sz w:val="18"/>
          <w:szCs w:val="18"/>
          <w:color w:val="auto"/>
        </w:rPr>
      </w:pPr>
    </w:p>
    <w:p>
      <w:pPr>
        <w:ind w:left="644" w:right="580" w:hanging="644"/>
        <w:spacing w:after="0" w:line="308" w:lineRule="auto"/>
        <w:tabs>
          <w:tab w:leader="none" w:pos="644"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Periodically and to the extent appropriate under the circumstances, it may be advisable for the Committee, with the assistance of the independent auditors, the internal audit department, if any, and/or management, to consider and review the following:</w:t>
      </w:r>
    </w:p>
    <w:p>
      <w:pPr>
        <w:spacing w:after="0" w:line="146" w:lineRule="exact"/>
        <w:rPr>
          <w:rFonts w:ascii="Arial" w:cs="Arial" w:eastAsia="Arial" w:hAnsi="Arial"/>
          <w:sz w:val="17"/>
          <w:szCs w:val="17"/>
          <w:color w:val="auto"/>
        </w:rPr>
      </w:pPr>
    </w:p>
    <w:p>
      <w:pPr>
        <w:ind w:left="1284" w:hanging="635"/>
        <w:spacing w:after="0"/>
        <w:tabs>
          <w:tab w:leader="none" w:pos="128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significant changes required in the independent auditors’ audit plan or auditing and accounting principles.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difficulties or disputes with management encountered during the course of the audit.</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adequacy of the Company’s system of internal controls over financial reporting.</w:t>
      </w:r>
    </w:p>
    <w:p>
      <w:pPr>
        <w:spacing w:after="0" w:line="225" w:lineRule="exact"/>
        <w:rPr>
          <w:rFonts w:ascii="Arial" w:cs="Arial" w:eastAsia="Arial" w:hAnsi="Arial"/>
          <w:sz w:val="18"/>
          <w:szCs w:val="18"/>
          <w:color w:val="auto"/>
        </w:rPr>
      </w:pPr>
    </w:p>
    <w:p>
      <w:pPr>
        <w:ind w:left="1304" w:right="360" w:hanging="655"/>
        <w:spacing w:after="0" w:line="277" w:lineRule="auto"/>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effect or potential effect of any regulatory regime, accounting initiatives or off-balance sheet structures on the Company’s financial statements.</w:t>
      </w:r>
    </w:p>
    <w:p>
      <w:pPr>
        <w:spacing w:after="0" w:line="170" w:lineRule="exact"/>
        <w:rPr>
          <w:rFonts w:ascii="Arial" w:cs="Arial" w:eastAsia="Arial" w:hAnsi="Arial"/>
          <w:sz w:val="18"/>
          <w:szCs w:val="18"/>
          <w:color w:val="auto"/>
        </w:rPr>
      </w:pPr>
    </w:p>
    <w:p>
      <w:pPr>
        <w:ind w:left="1304" w:right="560" w:hanging="655"/>
        <w:spacing w:after="0" w:line="277" w:lineRule="auto"/>
        <w:tabs>
          <w:tab w:leader="none" w:pos="130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correspondence with regulators or governmental agencies and any employee complaints or published reports that raise material issues regarding the Company’s financial statements or accounting policies.</w:t>
      </w:r>
    </w:p>
    <w:p>
      <w:pPr>
        <w:spacing w:after="0" w:line="170" w:lineRule="exact"/>
        <w:rPr>
          <w:rFonts w:ascii="Arial" w:cs="Arial" w:eastAsia="Arial" w:hAnsi="Arial"/>
          <w:sz w:val="18"/>
          <w:szCs w:val="18"/>
          <w:color w:val="auto"/>
        </w:rPr>
      </w:pPr>
    </w:p>
    <w:p>
      <w:pPr>
        <w:ind w:left="1304" w:right="560" w:hanging="655"/>
        <w:spacing w:after="0" w:line="277" w:lineRule="auto"/>
        <w:tabs>
          <w:tab w:leader="none" w:pos="1301" w:val="left"/>
        </w:tabs>
        <w:numPr>
          <w:ilvl w:val="1"/>
          <w:numId w:val="334"/>
        </w:numPr>
        <w:rPr>
          <w:rFonts w:ascii="Arial" w:cs="Arial" w:eastAsia="Arial" w:hAnsi="Arial"/>
          <w:sz w:val="18"/>
          <w:szCs w:val="18"/>
          <w:color w:val="auto"/>
        </w:rPr>
      </w:pPr>
      <w:r>
        <w:rPr>
          <w:rFonts w:ascii="Arial" w:cs="Arial" w:eastAsia="Arial" w:hAnsi="Arial"/>
          <w:sz w:val="18"/>
          <w:szCs w:val="18"/>
          <w:color w:val="auto"/>
        </w:rPr>
        <w:t>Other matters related to the conduct of the audit, which are to be communicated to the Committee under generally accepted auditing standards.</w:t>
      </w:r>
    </w:p>
    <w:p>
      <w:pPr>
        <w:spacing w:after="0" w:line="170" w:lineRule="exact"/>
        <w:rPr>
          <w:rFonts w:ascii="Arial" w:cs="Arial" w:eastAsia="Arial" w:hAnsi="Arial"/>
          <w:sz w:val="18"/>
          <w:szCs w:val="18"/>
          <w:color w:val="auto"/>
        </w:rPr>
      </w:pPr>
    </w:p>
    <w:p>
      <w:pPr>
        <w:ind w:left="644" w:right="420" w:hanging="644"/>
        <w:spacing w:after="0" w:line="277" w:lineRule="auto"/>
        <w:tabs>
          <w:tab w:leader="none" w:pos="63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Discuss with the independent auditors the matters required to be discussed by Statement on Auditing Standards No. 61, as modified or supplemented.</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Obtain from the independent auditor assurance that it has complied with Section 10A of the Securities Exchange Act of 1934.</w:t>
      </w:r>
    </w:p>
    <w:p>
      <w:pPr>
        <w:spacing w:after="0" w:line="225" w:lineRule="exact"/>
        <w:rPr>
          <w:rFonts w:ascii="Arial" w:cs="Arial" w:eastAsia="Arial" w:hAnsi="Arial"/>
          <w:sz w:val="18"/>
          <w:szCs w:val="18"/>
          <w:color w:val="auto"/>
        </w:rPr>
      </w:pPr>
    </w:p>
    <w:p>
      <w:pPr>
        <w:ind w:left="644" w:right="40" w:hanging="644"/>
        <w:spacing w:after="0" w:line="257" w:lineRule="auto"/>
        <w:tabs>
          <w:tab w:leader="none" w:pos="63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Ensure that the Company has implemented adequate procedures for (a) the receipt, retention and treatment of complaints received by the Company regarding accounting, internal controls over financial reporting or auditing matters and (b) the confidential, anonymous submission by the Company’s employees of concerns regarding questionable accounting or auditing matters. Such procedures are set forth in the Company’s Code of Business Conduct (the “Code”). The Committee shall observe such procedures and any other related procedures which the Committee may establish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left="644" w:hanging="644"/>
        <w:spacing w:after="0" w:line="277" w:lineRule="auto"/>
        <w:tabs>
          <w:tab w:leader="none" w:pos="63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Review and discuss with management and the internal auditor (or other personnel responsible for the internal audit function) the Company’s procedures and practices designed to provide reasonable assurance that:</w:t>
      </w:r>
    </w:p>
    <w:p>
      <w:pPr>
        <w:spacing w:after="0" w:line="170" w:lineRule="exact"/>
        <w:rPr>
          <w:rFonts w:ascii="Arial" w:cs="Arial" w:eastAsia="Arial" w:hAnsi="Arial"/>
          <w:sz w:val="18"/>
          <w:szCs w:val="18"/>
          <w:color w:val="auto"/>
        </w:rPr>
      </w:pPr>
    </w:p>
    <w:p>
      <w:pPr>
        <w:ind w:left="1304" w:right="80" w:hanging="655"/>
        <w:spacing w:after="0" w:line="264" w:lineRule="auto"/>
        <w:tabs>
          <w:tab w:leader="none" w:pos="129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Company’s books, records, accounts and internal accounting controls are established and maintained in compliance with the PRC Anti-Unfair Competition Law, the US Foreign Corrupt Practices Act of 1977, the UK Bribery Act 2010 and similar laws and regulations to which the Company is subject; and</w:t>
      </w:r>
    </w:p>
    <w:p>
      <w:pPr>
        <w:spacing w:after="0" w:line="181" w:lineRule="exact"/>
        <w:rPr>
          <w:rFonts w:ascii="Arial" w:cs="Arial" w:eastAsia="Arial" w:hAnsi="Arial"/>
          <w:sz w:val="18"/>
          <w:szCs w:val="18"/>
          <w:color w:val="auto"/>
        </w:rPr>
      </w:pPr>
    </w:p>
    <w:p>
      <w:pPr>
        <w:ind w:left="1304" w:right="20" w:hanging="655"/>
        <w:spacing w:after="0" w:line="259" w:lineRule="auto"/>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There are adequate company level controls in place to prevent or detect (i) any improper or illegal disbursement of corporate funds or property of value or (ii) the making of any arrangement on behalf of the Company which may provide for or result in the improper or illegal disbursement of funds or property of value, in order that the Company be in compliance with such laws and regulations.</w:t>
      </w:r>
    </w:p>
    <w:p>
      <w:pPr>
        <w:spacing w:after="0" w:line="186" w:lineRule="exact"/>
        <w:rPr>
          <w:rFonts w:ascii="Arial" w:cs="Arial" w:eastAsia="Arial" w:hAnsi="Arial"/>
          <w:sz w:val="18"/>
          <w:szCs w:val="18"/>
          <w:color w:val="auto"/>
        </w:rPr>
      </w:pPr>
    </w:p>
    <w:p>
      <w:pPr>
        <w:ind w:left="644" w:right="360" w:hanging="644"/>
        <w:spacing w:after="0" w:line="277" w:lineRule="auto"/>
        <w:tabs>
          <w:tab w:leader="none" w:pos="63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Cooperate with the Company in preparing any reports of the Committee it intends to include in a proxy statement and any other reports required by applicable securities laws.</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334"/>
        </w:numPr>
        <w:rPr>
          <w:rFonts w:ascii="Arial" w:cs="Arial" w:eastAsia="Arial" w:hAnsi="Arial"/>
          <w:sz w:val="17"/>
          <w:szCs w:val="17"/>
          <w:color w:val="auto"/>
        </w:rPr>
      </w:pPr>
      <w:r>
        <w:rPr>
          <w:rFonts w:ascii="Arial" w:cs="Arial" w:eastAsia="Arial" w:hAnsi="Arial"/>
          <w:sz w:val="17"/>
          <w:szCs w:val="17"/>
          <w:color w:val="auto"/>
        </w:rPr>
        <w:t>Review, with the Company’s counsel, any legal matter that could have a significant impact on the Company’s financial statements.</w:t>
      </w:r>
    </w:p>
    <w:p>
      <w:pPr>
        <w:spacing w:after="0" w:line="236" w:lineRule="exact"/>
        <w:rPr>
          <w:rFonts w:ascii="Arial" w:cs="Arial" w:eastAsia="Arial" w:hAnsi="Arial"/>
          <w:sz w:val="17"/>
          <w:szCs w:val="17"/>
          <w:color w:val="auto"/>
        </w:rPr>
      </w:pPr>
    </w:p>
    <w:p>
      <w:pPr>
        <w:ind w:left="644" w:hanging="644"/>
        <w:spacing w:after="0"/>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Report through its chairperson to the directors following meetings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-8099425</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-2842260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0" w:gutter="0" w:footer="0" w:header="0"/>
        </w:sectPr>
      </w:pPr>
    </w:p>
    <w:bookmarkStart w:id="180" w:name="page181"/>
    <w:bookmarkEnd w:id="180"/>
    <w:p>
      <w:pPr>
        <w:ind w:left="1300" w:hanging="644"/>
        <w:spacing w:after="0"/>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Maintain minutes or other records of meetings and activities of the Committee.</w:t>
      </w:r>
    </w:p>
    <w:p>
      <w:pPr>
        <w:spacing w:after="0" w:line="225" w:lineRule="exact"/>
        <w:rPr>
          <w:rFonts w:ascii="Arial" w:cs="Arial" w:eastAsia="Arial" w:hAnsi="Arial"/>
          <w:sz w:val="18"/>
          <w:szCs w:val="18"/>
          <w:color w:val="auto"/>
        </w:rPr>
      </w:pPr>
    </w:p>
    <w:p>
      <w:pPr>
        <w:jc w:val="both"/>
        <w:ind w:left="1300" w:right="120" w:hanging="644"/>
        <w:spacing w:after="0" w:line="264" w:lineRule="auto"/>
        <w:tabs>
          <w:tab w:leader="none" w:pos="12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Review the rationale for employing audit firms other than the principal independent auditors; and, where an additional audit firm has been employed, review the coordination of audit efforts to assure completeness of coverage, reduction of redundant efforts and the effective use of audit resources.</w:t>
      </w:r>
    </w:p>
    <w:p>
      <w:pPr>
        <w:spacing w:after="0" w:line="181" w:lineRule="exact"/>
        <w:rPr>
          <w:rFonts w:ascii="Arial" w:cs="Arial" w:eastAsia="Arial" w:hAnsi="Arial"/>
          <w:sz w:val="18"/>
          <w:szCs w:val="18"/>
          <w:color w:val="auto"/>
        </w:rPr>
      </w:pPr>
    </w:p>
    <w:p>
      <w:pPr>
        <w:ind w:left="1300" w:right="820" w:hanging="644"/>
        <w:spacing w:after="0" w:line="277" w:lineRule="auto"/>
        <w:tabs>
          <w:tab w:leader="none" w:pos="12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Meet periodically with or interview, in separate sessions, the chief financial officer, the senior internal auditing executive and the independent audit firm engagement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Duties &amp; Responsibilities</w:t>
      </w:r>
    </w:p>
    <w:p>
      <w:pPr>
        <w:spacing w:after="0" w:line="225" w:lineRule="exact"/>
        <w:rPr>
          <w:sz w:val="20"/>
          <w:szCs w:val="20"/>
          <w:color w:val="auto"/>
        </w:rPr>
      </w:pPr>
    </w:p>
    <w:p>
      <w:pPr>
        <w:ind w:left="1300" w:hanging="644"/>
        <w:spacing w:after="0" w:line="293" w:lineRule="auto"/>
        <w:tabs>
          <w:tab w:leader="none" w:pos="129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Unless the Board shall designate another committee to handle such matters, on at least a quarterly basis, the Chief Executive Officer or Chief Financial Officer of the Company shall report to the Committee any reports or complaints they have received regarding: (i) actual or potential violations of the Code, (ii) matters related to accounting, internal controls over financial reporting or audits, (iii) corporate fraud, (iv) violations of law (even if deemed to be immaterial), (v) any compliance issues regarding the Code and (vi) confidential, anonymous submissions by employees of the Company regarding questionable accounting or auditing matters. The Committee shall evaluate each such matter in consultation with management and determine appropriate actions, if any, to take, in accordance with the Code.</w:t>
      </w:r>
    </w:p>
    <w:p>
      <w:pPr>
        <w:spacing w:after="0" w:line="164" w:lineRule="exact"/>
        <w:rPr>
          <w:rFonts w:ascii="Arial" w:cs="Arial" w:eastAsia="Arial" w:hAnsi="Arial"/>
          <w:sz w:val="16"/>
          <w:szCs w:val="16"/>
          <w:color w:val="auto"/>
        </w:rPr>
      </w:pPr>
    </w:p>
    <w:p>
      <w:pPr>
        <w:ind w:left="1300" w:hanging="644"/>
        <w:spacing w:after="0"/>
        <w:tabs>
          <w:tab w:leader="none" w:pos="130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Committee shall review and discuss accounting pronouncements, initiatives and proposed rule changes relevant to the Company.</w:t>
      </w:r>
    </w:p>
    <w:p>
      <w:pPr>
        <w:spacing w:after="0" w:line="236" w:lineRule="exact"/>
        <w:rPr>
          <w:rFonts w:ascii="Arial" w:cs="Arial" w:eastAsia="Arial" w:hAnsi="Arial"/>
          <w:sz w:val="17"/>
          <w:szCs w:val="17"/>
          <w:color w:val="auto"/>
        </w:rPr>
      </w:pPr>
    </w:p>
    <w:p>
      <w:pPr>
        <w:ind w:left="1300" w:right="480" w:hanging="644"/>
        <w:spacing w:after="0" w:line="277" w:lineRule="auto"/>
        <w:tabs>
          <w:tab w:leader="none" w:pos="129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Committee shall review on an annual basis any policies adopted by the Committee, including its policy, if any, regarding the pre-approval of audit and non-audit services.</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Committee shall review on an annual basis the performance of the Committee, and report to the Board the results of such review. The review shall be conducted in such manner as the Committee deems appropriate.</w:t>
      </w:r>
    </w:p>
    <w:p>
      <w:pPr>
        <w:spacing w:after="0" w:line="170" w:lineRule="exact"/>
        <w:rPr>
          <w:rFonts w:ascii="Arial" w:cs="Arial" w:eastAsia="Arial" w:hAnsi="Arial"/>
          <w:sz w:val="18"/>
          <w:szCs w:val="18"/>
          <w:color w:val="auto"/>
        </w:rPr>
      </w:pPr>
    </w:p>
    <w:p>
      <w:pPr>
        <w:ind w:left="1300" w:right="100" w:hanging="644"/>
        <w:spacing w:after="0" w:line="264" w:lineRule="auto"/>
        <w:tabs>
          <w:tab w:leader="none" w:pos="129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Review and approve related party transactions in accordance with the Company’s Related Party Transactions Procedures, unless a member of the Committee is involved in the related party transaction in which case the transaction shall be reviewed by the disinterested independent directors as provided in such procedures.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Meet periodically with management to review the adequacy and effectiveness of the Code.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and Meetings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The Committee shall conduct its business and meetings in accordance with this Charter, the Company’s Memorandum and Articles of Association and any direction set forth by the Board. The chairperson of the Committee shall be designated by the Board or, in the absence of such a designation, by a majority of the Members. The designated chairperson shall preside at each meeting of the Committee and, in consultation with the other Members, shall set the frequency and length of each meeting and the agenda of items to be addressed at each meeting. In the absence of the designated chairperson at any meeting of the Committee, the Members present at such meeting shall designate a chairperson </w:t>
      </w:r>
      <w:r>
        <w:rPr>
          <w:rFonts w:ascii="Arial" w:cs="Arial" w:eastAsia="Arial" w:hAnsi="Arial"/>
          <w:sz w:val="17"/>
          <w:szCs w:val="17"/>
          <w:i w:val="1"/>
          <w:iCs w:val="1"/>
          <w:color w:val="auto"/>
        </w:rPr>
        <w:t>pro tem</w:t>
      </w:r>
      <w:r>
        <w:rPr>
          <w:rFonts w:ascii="Arial" w:cs="Arial" w:eastAsia="Arial" w:hAnsi="Arial"/>
          <w:sz w:val="17"/>
          <w:szCs w:val="17"/>
          <w:color w:val="auto"/>
        </w:rPr>
        <w:t xml:space="preserve"> to serve in that capacity for the purposes of such meeting (not to include any adjournment thereof) by majority vote. The chairperson (other than a chairperson </w:t>
      </w:r>
      <w:r>
        <w:rPr>
          <w:rFonts w:ascii="Arial" w:cs="Arial" w:eastAsia="Arial" w:hAnsi="Arial"/>
          <w:sz w:val="17"/>
          <w:szCs w:val="17"/>
          <w:i w:val="1"/>
          <w:iCs w:val="1"/>
          <w:color w:val="auto"/>
        </w:rPr>
        <w:t>pro tem</w:t>
      </w:r>
      <w:r>
        <w:rPr>
          <w:rFonts w:ascii="Arial" w:cs="Arial" w:eastAsia="Arial" w:hAnsi="Arial"/>
          <w:sz w:val="17"/>
          <w:szCs w:val="17"/>
          <w:color w:val="auto"/>
        </w:rPr>
        <w:t>) shall ensure that the agenda for each meeting is distributed to each member in advance of the applicable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Committee shall meet as often as it determines to be necessary and appropriate, but not less than four times each year. The Committee may establish its own schedule, provided that it shall provide such schedule to the Board in advance. Special meetings of the Committee may be called by or at the request of any member of the Committee, any of the Company’s executive officers, the head of the Company’s internal audit department, or the independent auditor, in each case on at least twenty-four hours notice to each member.</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 majority of the appointed members, but not less than two (2) members, shall constitute a quorum for the transaction of business. Members may participate in a meeting through use of conference telephone or similar communications equipment, so long as all members participating in such meeting can hear one another, and such participation shall constitute presence in person at such meeting.</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Appropriate officers and internal audit and financial personnel of the Company may attend any meeting of the Committee, except for portions of such meetings where the presence of such officers or personnel would be inappropriate, as determined by the Committee. The Committee may request any officer or employee of the Company or the Company’s outside counsel, internal audit provider or independent auditor to attend a meeting of the Committee or to meet with any members of, or consultants to, the Committee. The Committee may hold separate executive sessions with management, the independent auditor and/or the Company’s internal audit provider, as appropriate.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Unless the Committee by resolution determines otherwise, any action required or permitted to be taken by the Committee may be taken without a meeting if all Members consent thereto in writing and the writing or writings are filed with the minutes of the proceedings of the Committee. The Committee may form and delegate authority to subcommittees when appropriate.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Minutes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maintain written minutes of its meetings, which minutes shall be filed with the minutes of the meetings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908"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[PricewaterhouseCoopers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333-100069 and No. 333-164249) of NetEase, Inc. of our report dated April 24, 2015 relating to the financial statements and the effectiveness of internal control over financial reporting, which appears in this Form 20-F.</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Maples and Calder]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26/F, SP Tower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Tsinghua Science Park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 Zhongguancun East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Haidian District, Beijing 100084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NetEase, Inc.</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acted as legal advisors as to the laws of the Cayman Islands to NetEase, Inc.,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 Exchange Commission of an annual report on Form 20-F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reference of our name under the headings “Taxation” and “Enforcement of Civil Liabilities” in the Form 20-F.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Maples and Calder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15.4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Jun He Law Offices]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26/F, SP Tower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Tsinghua Science Park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No.1 Zhongguancun East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Haidian District, Beijing 100084,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Consent of People’s Republic of China Counsel</w:t>
      </w:r>
    </w:p>
    <w:p>
      <w:pPr>
        <w:spacing w:after="0" w:line="225"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We consent to the reference to our firm under the heading “Enforcement of Civil Liabilities” in the annual report on Form 20-F for the year ended December 31, 2014 of NetEase, Inc. to be filed with the Securities and Exchange Commission in the month of April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Jun He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 He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94FF7"/>
    <w:multiLevelType w:val="hybridMultilevel"/>
    <w:lvl w:ilvl="0">
      <w:lvlJc w:val="left"/>
      <w:lvlText w:val="o"/>
      <w:numFmt w:val="bullet"/>
      <w:start w:val="1"/>
    </w:lvl>
  </w:abstractNum>
  <w:abstractNum w:abstractNumId="1">
    <w:nsid w:val="5454945E"/>
    <w:multiLevelType w:val="hybridMultilevel"/>
    <w:lvl w:ilvl="0">
      <w:lvlJc w:val="left"/>
      <w:lvlText w:val="x"/>
      <w:numFmt w:val="bullet"/>
      <w:start w:val="1"/>
    </w:lvl>
  </w:abstractNum>
  <w:abstractNum w:abstractNumId="2">
    <w:nsid w:val="4DEFDFA0"/>
    <w:multiLevelType w:val="hybridMultilevel"/>
    <w:lvl w:ilvl="0">
      <w:lvlJc w:val="left"/>
      <w:lvlText w:val="o"/>
      <w:numFmt w:val="bullet"/>
      <w:start w:val="1"/>
    </w:lvl>
  </w:abstractNum>
  <w:abstractNum w:abstractNumId="3">
    <w:nsid w:val="2123D5F2"/>
    <w:multiLevelType w:val="hybridMultilevel"/>
    <w:lvl w:ilvl="0">
      <w:lvlJc w:val="left"/>
      <w:lvlText w:val="o"/>
      <w:numFmt w:val="bullet"/>
      <w:start w:val="1"/>
    </w:lvl>
  </w:abstractNum>
  <w:abstractNum w:abstractNumId="4">
    <w:nsid w:val="135B8110"/>
    <w:multiLevelType w:val="hybridMultilevel"/>
    <w:lvl w:ilvl="0">
      <w:lvlJc w:val="left"/>
      <w:lvlText w:val="·"/>
      <w:numFmt w:val="bullet"/>
      <w:start w:val="1"/>
    </w:lvl>
  </w:abstractNum>
  <w:abstractNum w:abstractNumId="5">
    <w:nsid w:val="94927A8"/>
    <w:multiLevelType w:val="hybridMultilevel"/>
    <w:lvl w:ilvl="0">
      <w:lvlJc w:val="left"/>
      <w:lvlText w:val="%1."/>
      <w:numFmt w:val="upperLetter"/>
      <w:start w:val="1"/>
    </w:lvl>
  </w:abstractNum>
  <w:abstractNum w:abstractNumId="6">
    <w:nsid w:val="DCDF8F6"/>
    <w:multiLevelType w:val="hybridMultilevel"/>
    <w:lvl w:ilvl="0">
      <w:lvlJc w:val="left"/>
      <w:lvlText w:val="%1."/>
      <w:numFmt w:val="upperLetter"/>
      <w:start w:val="2"/>
    </w:lvl>
  </w:abstractNum>
  <w:abstractNum w:abstractNumId="7">
    <w:nsid w:val="52D7B105"/>
    <w:multiLevelType w:val="hybridMultilevel"/>
    <w:lvl w:ilvl="0">
      <w:lvlJc w:val="left"/>
      <w:lvlText w:val="%1."/>
      <w:numFmt w:val="upperLetter"/>
      <w:start w:val="4"/>
    </w:lvl>
  </w:abstractNum>
  <w:abstractNum w:abstractNumId="8">
    <w:nsid w:val="2E8A6394"/>
    <w:multiLevelType w:val="hybridMultilevel"/>
    <w:lvl w:ilvl="0">
      <w:lvlJc w:val="left"/>
      <w:lvlText w:val="·"/>
      <w:numFmt w:val="bullet"/>
      <w:start w:val="1"/>
    </w:lvl>
  </w:abstractNum>
  <w:abstractNum w:abstractNumId="9">
    <w:nsid w:val="24E60401"/>
    <w:multiLevelType w:val="hybridMultilevel"/>
    <w:lvl w:ilvl="0">
      <w:lvlJc w:val="left"/>
      <w:lvlText w:val="·"/>
      <w:numFmt w:val="bullet"/>
      <w:start w:val="1"/>
    </w:lvl>
  </w:abstractNum>
  <w:abstractNum w:abstractNumId="10">
    <w:nsid w:val="2A6AD9BE"/>
    <w:multiLevelType w:val="hybridMultilevel"/>
    <w:lvl w:ilvl="0">
      <w:lvlJc w:val="left"/>
      <w:lvlText w:val="·"/>
      <w:numFmt w:val="bullet"/>
      <w:start w:val="1"/>
    </w:lvl>
  </w:abstractNum>
  <w:abstractNum w:abstractNumId="11">
    <w:nsid w:val="BAAC1B4"/>
    <w:multiLevelType w:val="hybridMultilevel"/>
    <w:lvl w:ilvl="0">
      <w:lvlJc w:val="left"/>
      <w:lvlText w:val="·"/>
      <w:numFmt w:val="bullet"/>
      <w:start w:val="1"/>
    </w:lvl>
  </w:abstractNum>
  <w:abstractNum w:abstractNumId="12">
    <w:nsid w:val="36B2ACBC"/>
    <w:multiLevelType w:val="hybridMultilevel"/>
    <w:lvl w:ilvl="0">
      <w:lvlJc w:val="left"/>
      <w:lvlText w:val="·"/>
      <w:numFmt w:val="bullet"/>
      <w:start w:val="1"/>
    </w:lvl>
  </w:abstractNum>
  <w:abstractNum w:abstractNumId="13">
    <w:nsid w:val="779D8544"/>
    <w:multiLevelType w:val="hybridMultilevel"/>
    <w:lvl w:ilvl="0">
      <w:lvlJc w:val="left"/>
      <w:lvlText w:val="%1."/>
      <w:numFmt w:val="upperLetter"/>
      <w:start w:val="1"/>
    </w:lvl>
  </w:abstractNum>
  <w:abstractNum w:abstractNumId="14">
    <w:nsid w:val="4AB26E78"/>
    <w:multiLevelType w:val="hybridMultilevel"/>
    <w:lvl w:ilvl="0">
      <w:lvlJc w:val="left"/>
      <w:lvlText w:val="%1."/>
      <w:numFmt w:val="upperLetter"/>
      <w:start w:val="2"/>
    </w:lvl>
  </w:abstractNum>
  <w:abstractNum w:abstractNumId="15">
    <w:nsid w:val="21FAA2FA"/>
    <w:multiLevelType w:val="hybridMultilevel"/>
    <w:lvl w:ilvl="0">
      <w:lvlJc w:val="left"/>
      <w:lvlText w:val="%1:"/>
      <w:numFmt w:val="upperLetter"/>
      <w:start w:val="35"/>
    </w:lvl>
  </w:abstractNum>
  <w:abstractNum w:abstractNumId="16">
    <w:nsid w:val="5451CF49"/>
    <w:multiLevelType w:val="hybridMultilevel"/>
    <w:lvl w:ilvl="0">
      <w:lvlJc w:val="left"/>
      <w:lvlText w:val="·"/>
      <w:numFmt w:val="bullet"/>
      <w:start w:val="1"/>
    </w:lvl>
  </w:abstractNum>
  <w:abstractNum w:abstractNumId="17">
    <w:nsid w:val="6181EF69"/>
    <w:multiLevelType w:val="hybridMultilevel"/>
    <w:lvl w:ilvl="0">
      <w:lvlJc w:val="left"/>
      <w:lvlText w:val="%1"/>
      <w:numFmt w:val="upperLetter"/>
      <w:start w:val="35"/>
    </w:lvl>
  </w:abstractNum>
  <w:abstractNum w:abstractNumId="18">
    <w:nsid w:val="3E6400E6"/>
    <w:multiLevelType w:val="hybridMultilevel"/>
    <w:lvl w:ilvl="0">
      <w:lvlJc w:val="left"/>
      <w:lvlText w:val="·"/>
      <w:numFmt w:val="bullet"/>
      <w:start w:val="1"/>
    </w:lvl>
  </w:abstractNum>
  <w:abstractNum w:abstractNumId="19">
    <w:nsid w:val="14217E23"/>
    <w:multiLevelType w:val="hybridMultilevel"/>
    <w:lvl w:ilvl="0">
      <w:lvlJc w:val="left"/>
      <w:lvlText w:val="·"/>
      <w:numFmt w:val="bullet"/>
      <w:start w:val="1"/>
    </w:lvl>
  </w:abstractNum>
  <w:abstractNum w:abstractNumId="20">
    <w:nsid w:val="710757D0"/>
    <w:multiLevelType w:val="hybridMultilevel"/>
    <w:lvl w:ilvl="0">
      <w:lvlJc w:val="left"/>
      <w:lvlText w:val="·"/>
      <w:numFmt w:val="bullet"/>
      <w:start w:val="1"/>
    </w:lvl>
  </w:abstractNum>
  <w:abstractNum w:abstractNumId="21">
    <w:nsid w:val="5015CD1A"/>
    <w:multiLevelType w:val="hybridMultilevel"/>
    <w:lvl w:ilvl="0">
      <w:lvlJc w:val="left"/>
      <w:lvlText w:val="%1."/>
      <w:numFmt w:val="upperLetter"/>
      <w:start w:val="3"/>
    </w:lvl>
  </w:abstractNum>
  <w:abstractNum w:abstractNumId="22">
    <w:nsid w:val="424479DA"/>
    <w:multiLevelType w:val="hybridMultilevel"/>
    <w:lvl w:ilvl="0">
      <w:lvlJc w:val="left"/>
      <w:lvlText w:val="%1."/>
      <w:numFmt w:val="upperLetter"/>
      <w:start w:val="1"/>
    </w:lvl>
  </w:abstractNum>
  <w:abstractNum w:abstractNumId="23">
    <w:nsid w:val="1A9A9E69"/>
    <w:multiLevelType w:val="hybridMultilevel"/>
    <w:lvl w:ilvl="0">
      <w:lvlJc w:val="left"/>
      <w:lvlText w:val="(%1)"/>
      <w:numFmt w:val="lowerRoman"/>
      <w:start w:val="2"/>
    </w:lvl>
  </w:abstractNum>
  <w:abstractNum w:abstractNumId="24">
    <w:nsid w:val="475E256A"/>
    <w:multiLevelType w:val="hybridMultilevel"/>
    <w:lvl w:ilvl="0">
      <w:lvlJc w:val="left"/>
      <w:lvlText w:val="·"/>
      <w:numFmt w:val="bullet"/>
      <w:start w:val="1"/>
    </w:lvl>
  </w:abstractNum>
  <w:abstractNum w:abstractNumId="25">
    <w:nsid w:val="368DB37E"/>
    <w:multiLevelType w:val="hybridMultilevel"/>
    <w:lvl w:ilvl="0">
      <w:lvlJc w:val="left"/>
      <w:lvlText w:val="·"/>
      <w:numFmt w:val="bullet"/>
      <w:start w:val="1"/>
    </w:lvl>
  </w:abstractNum>
  <w:abstractNum w:abstractNumId="26">
    <w:nsid w:val="6A3B714C"/>
    <w:multiLevelType w:val="hybridMultilevel"/>
    <w:lvl w:ilvl="0">
      <w:lvlJc w:val="left"/>
      <w:lvlText w:val="·"/>
      <w:numFmt w:val="bullet"/>
      <w:start w:val="1"/>
    </w:lvl>
  </w:abstractNum>
  <w:abstractNum w:abstractNumId="27">
    <w:nsid w:val="327B517E"/>
    <w:multiLevelType w:val="hybridMultilevel"/>
    <w:lvl w:ilvl="0">
      <w:lvlJc w:val="left"/>
      <w:lvlText w:val="·"/>
      <w:numFmt w:val="bullet"/>
      <w:start w:val="1"/>
    </w:lvl>
  </w:abstractNum>
  <w:abstractNum w:abstractNumId="28">
    <w:nsid w:val="1F461B51"/>
    <w:multiLevelType w:val="hybridMultilevel"/>
    <w:lvl w:ilvl="0">
      <w:lvlJc w:val="left"/>
      <w:lvlText w:val="·"/>
      <w:numFmt w:val="bullet"/>
      <w:start w:val="1"/>
    </w:lvl>
  </w:abstractNum>
  <w:abstractNum w:abstractNumId="29">
    <w:nsid w:val="29BACF25"/>
    <w:multiLevelType w:val="hybridMultilevel"/>
    <w:lvl w:ilvl="0">
      <w:lvlJc w:val="left"/>
      <w:lvlText w:val="·"/>
      <w:numFmt w:val="bullet"/>
      <w:start w:val="1"/>
    </w:lvl>
    <w:lvl w:ilvl="1">
      <w:lvlJc w:val="left"/>
      <w:lvlText w:val="·"/>
      <w:numFmt w:val="bullet"/>
      <w:start w:val="1"/>
    </w:lvl>
  </w:abstractNum>
  <w:abstractNum w:abstractNumId="30">
    <w:nsid w:val="5D5BABB3"/>
    <w:multiLevelType w:val="hybridMultilevel"/>
    <w:lvl w:ilvl="0">
      <w:lvlJc w:val="left"/>
      <w:lvlText w:val="·"/>
      <w:numFmt w:val="bullet"/>
      <w:start w:val="1"/>
    </w:lvl>
  </w:abstractNum>
  <w:abstractNum w:abstractNumId="31">
    <w:nsid w:val="51BF6B48"/>
    <w:multiLevelType w:val="hybridMultilevel"/>
    <w:lvl w:ilvl="0">
      <w:lvlJc w:val="left"/>
      <w:lvlText w:val="·"/>
      <w:numFmt w:val="bullet"/>
      <w:start w:val="1"/>
    </w:lvl>
  </w:abstractNum>
  <w:abstractNum w:abstractNumId="32">
    <w:nsid w:val="7E0F6384"/>
    <w:multiLevelType w:val="hybridMultilevel"/>
    <w:lvl w:ilvl="0">
      <w:lvlJc w:val="left"/>
      <w:lvlText w:val="·"/>
      <w:numFmt w:val="bullet"/>
      <w:start w:val="1"/>
    </w:lvl>
  </w:abstractNum>
  <w:abstractNum w:abstractNumId="33">
    <w:nsid w:val="2B4B8B53"/>
    <w:multiLevelType w:val="hybridMultilevel"/>
    <w:lvl w:ilvl="0">
      <w:lvlJc w:val="left"/>
      <w:lvlText w:val="·"/>
      <w:numFmt w:val="bullet"/>
      <w:start w:val="1"/>
    </w:lvl>
  </w:abstractNum>
  <w:abstractNum w:abstractNumId="34">
    <w:nsid w:val="72E3413A"/>
    <w:multiLevelType w:val="hybridMultilevel"/>
    <w:lvl w:ilvl="0">
      <w:lvlJc w:val="left"/>
      <w:lvlText w:val="·"/>
      <w:numFmt w:val="bullet"/>
      <w:start w:val="1"/>
    </w:lvl>
  </w:abstractNum>
  <w:abstractNum w:abstractNumId="35">
    <w:nsid w:val="116AE494"/>
    <w:multiLevelType w:val="hybridMultilevel"/>
    <w:lvl w:ilvl="0">
      <w:lvlJc w:val="left"/>
      <w:lvlText w:val="·"/>
      <w:numFmt w:val="bullet"/>
      <w:start w:val="1"/>
    </w:lvl>
    <w:lvl w:ilvl="1">
      <w:lvlJc w:val="left"/>
      <w:lvlText w:val="·"/>
      <w:numFmt w:val="bullet"/>
      <w:start w:val="1"/>
    </w:lvl>
  </w:abstractNum>
  <w:abstractNum w:abstractNumId="36">
    <w:nsid w:val="3494B2FB"/>
    <w:multiLevelType w:val="hybridMultilevel"/>
    <w:lvl w:ilvl="0">
      <w:lvlJc w:val="left"/>
      <w:lvlText w:val="%1."/>
      <w:numFmt w:val="upperLetter"/>
      <w:start w:val="2"/>
    </w:lvl>
  </w:abstractNum>
  <w:abstractNum w:abstractNumId="37">
    <w:nsid w:val="B13A31"/>
    <w:multiLevelType w:val="hybridMultilevel"/>
    <w:lvl w:ilvl="0">
      <w:lvlJc w:val="left"/>
      <w:lvlText w:val="(%1)"/>
      <w:numFmt w:val="lowerRoman"/>
      <w:start w:val="2"/>
    </w:lvl>
  </w:abstractNum>
  <w:abstractNum w:abstractNumId="38">
    <w:nsid w:val="64429599"/>
    <w:multiLevelType w:val="hybridMultilevel"/>
    <w:lvl w:ilvl="0">
      <w:lvlJc w:val="left"/>
      <w:lvlText w:val="%1."/>
      <w:numFmt w:val="upperLetter"/>
      <w:start w:val="2"/>
    </w:lvl>
    <w:lvl w:ilvl="1">
      <w:lvlJc w:val="left"/>
      <w:lvlText w:val="·"/>
      <w:numFmt w:val="bullet"/>
      <w:start w:val="1"/>
    </w:lvl>
  </w:abstractNum>
  <w:abstractNum w:abstractNumId="39">
    <w:nsid w:val="631F1690"/>
    <w:multiLevelType w:val="hybridMultilevel"/>
    <w:lvl w:ilvl="0">
      <w:lvlJc w:val="left"/>
      <w:lvlText w:val="%1."/>
      <w:numFmt w:val="upperLetter"/>
      <w:start w:val="4"/>
    </w:lvl>
  </w:abstractNum>
  <w:abstractNum w:abstractNumId="40">
    <w:nsid w:val="25973E32"/>
    <w:multiLevelType w:val="hybridMultilevel"/>
    <w:lvl w:ilvl="0">
      <w:lvlJc w:val="left"/>
      <w:lvlText w:val="%1."/>
      <w:numFmt w:val="upperLetter"/>
      <w:start w:val="5"/>
    </w:lvl>
  </w:abstractNum>
  <w:abstractNum w:abstractNumId="41">
    <w:nsid w:val="EAD6F57"/>
    <w:multiLevelType w:val="hybridMultilevel"/>
    <w:lvl w:ilvl="0">
      <w:lvlJc w:val="left"/>
      <w:lvlText w:val="%1."/>
      <w:numFmt w:val="upperLetter"/>
      <w:start w:val="6"/>
    </w:lvl>
  </w:abstractNum>
  <w:abstractNum w:abstractNumId="42">
    <w:nsid w:val="6EC9D844"/>
    <w:multiLevelType w:val="hybridMultilevel"/>
    <w:lvl w:ilvl="0">
      <w:lvlJc w:val="left"/>
      <w:lvlText w:val="%1."/>
      <w:numFmt w:val="upperLetter"/>
      <w:start w:val="1"/>
    </w:lvl>
  </w:abstractNum>
  <w:abstractNum w:abstractNumId="43">
    <w:nsid w:val="5C49EAEE"/>
    <w:multiLevelType w:val="hybridMultilevel"/>
    <w:lvl w:ilvl="0">
      <w:lvlJc w:val="left"/>
      <w:lvlText w:val="(%1)"/>
      <w:numFmt w:val="decimal"/>
      <w:start w:val="1"/>
    </w:lvl>
  </w:abstractNum>
  <w:abstractNum w:abstractNumId="44">
    <w:nsid w:val="64AF49B"/>
    <w:multiLevelType w:val="hybridMultilevel"/>
    <w:lvl w:ilvl="0">
      <w:lvlJc w:val="left"/>
      <w:lvlText w:val="%1."/>
      <w:numFmt w:val="upperLetter"/>
      <w:start w:val="2"/>
    </w:lvl>
  </w:abstractNum>
  <w:abstractNum w:abstractNumId="45">
    <w:nsid w:val="397C46BC"/>
    <w:multiLevelType w:val="hybridMultilevel"/>
    <w:lvl w:ilvl="0">
      <w:lvlJc w:val="left"/>
      <w:lvlText w:val="%1."/>
      <w:numFmt w:val="upperLetter"/>
      <w:start w:val="3"/>
    </w:lvl>
  </w:abstractNum>
  <w:abstractNum w:abstractNumId="46">
    <w:nsid w:val="7E448DE9"/>
    <w:multiLevelType w:val="hybridMultilevel"/>
    <w:lvl w:ilvl="0">
      <w:lvlJc w:val="left"/>
      <w:lvlText w:val="%1."/>
      <w:numFmt w:val="upperLetter"/>
      <w:start w:val="4"/>
    </w:lvl>
  </w:abstractNum>
  <w:abstractNum w:abstractNumId="47">
    <w:nsid w:val="5A9CC3E5"/>
    <w:multiLevelType w:val="hybridMultilevel"/>
    <w:lvl w:ilvl="0">
      <w:lvlJc w:val="left"/>
      <w:lvlText w:val="%1."/>
      <w:numFmt w:val="upperLetter"/>
      <w:start w:val="5"/>
    </w:lvl>
  </w:abstractNum>
  <w:abstractNum w:abstractNumId="48">
    <w:nsid w:val="1AFE3625"/>
    <w:multiLevelType w:val="hybridMultilevel"/>
    <w:lvl w:ilvl="0">
      <w:lvlJc w:val="left"/>
      <w:lvlText w:val="·"/>
      <w:numFmt w:val="bullet"/>
      <w:start w:val="1"/>
    </w:lvl>
  </w:abstractNum>
  <w:abstractNum w:abstractNumId="49">
    <w:nsid w:val="3CA88ECF"/>
    <w:multiLevelType w:val="hybridMultilevel"/>
    <w:lvl w:ilvl="0">
      <w:lvlJc w:val="left"/>
      <w:lvlText w:val="*"/>
      <w:numFmt w:val="bullet"/>
      <w:start w:val="1"/>
    </w:lvl>
  </w:abstractNum>
  <w:abstractNum w:abstractNumId="50">
    <w:nsid w:val="6EBE4208"/>
    <w:multiLevelType w:val="hybridMultilevel"/>
    <w:lvl w:ilvl="0">
      <w:lvlJc w:val="left"/>
      <w:lvlText w:val="(%1)"/>
      <w:numFmt w:val="decimal"/>
      <w:start w:val="1"/>
    </w:lvl>
  </w:abstractNum>
  <w:abstractNum w:abstractNumId="51">
    <w:nsid w:val="C058DF5"/>
    <w:multiLevelType w:val="hybridMultilevel"/>
    <w:lvl w:ilvl="0">
      <w:lvlJc w:val="left"/>
      <w:lvlText w:val="%1."/>
      <w:numFmt w:val="upperLetter"/>
      <w:start w:val="1"/>
    </w:lvl>
  </w:abstractNum>
  <w:abstractNum w:abstractNumId="52">
    <w:nsid w:val="CBE5BE9"/>
    <w:multiLevelType w:val="hybridMultilevel"/>
    <w:lvl w:ilvl="0">
      <w:lvlJc w:val="left"/>
      <w:lvlText w:val="%1."/>
      <w:numFmt w:val="upperLetter"/>
      <w:start w:val="2"/>
    </w:lvl>
  </w:abstractNum>
  <w:abstractNum w:abstractNumId="53">
    <w:nsid w:val="3102BBE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4">
    <w:nsid w:val="26A02C5E"/>
    <w:multiLevelType w:val="hybridMultilevel"/>
    <w:lvl w:ilvl="0">
      <w:lvlJc w:val="left"/>
      <w:lvlText w:val="·"/>
      <w:numFmt w:val="bullet"/>
      <w:start w:val="1"/>
    </w:lvl>
    <w:lvl w:ilvl="1">
      <w:lvlJc w:val="left"/>
      <w:lvlText w:val="·"/>
      <w:numFmt w:val="bullet"/>
      <w:start w:val="1"/>
    </w:lvl>
  </w:abstractNum>
  <w:abstractNum w:abstractNumId="55">
    <w:nsid w:val="541C8153"/>
    <w:multiLevelType w:val="hybridMultilevel"/>
    <w:lvl w:ilvl="0">
      <w:lvlJc w:val="left"/>
      <w:lvlText w:val="·"/>
      <w:numFmt w:val="bullet"/>
      <w:start w:val="1"/>
    </w:lvl>
  </w:abstractNum>
  <w:abstractNum w:abstractNumId="56">
    <w:nsid w:val="67906F60"/>
    <w:multiLevelType w:val="hybridMultilevel"/>
    <w:lvl w:ilvl="0">
      <w:lvlJc w:val="left"/>
      <w:lvlText w:val="·"/>
      <w:numFmt w:val="bullet"/>
      <w:start w:val="1"/>
    </w:lvl>
    <w:lvl w:ilvl="1">
      <w:lvlJc w:val="left"/>
      <w:lvlText w:val="·"/>
      <w:numFmt w:val="bullet"/>
      <w:start w:val="1"/>
    </w:lvl>
  </w:abstractNum>
  <w:abstractNum w:abstractNumId="57">
    <w:nsid w:val="10DB9DAA"/>
    <w:multiLevelType w:val="hybridMultilevel"/>
    <w:lvl w:ilvl="0">
      <w:lvlJc w:val="left"/>
      <w:lvlText w:val="·"/>
      <w:numFmt w:val="bullet"/>
      <w:start w:val="1"/>
    </w:lvl>
  </w:abstractNum>
  <w:abstractNum w:abstractNumId="58">
    <w:nsid w:val="697D2D2"/>
    <w:multiLevelType w:val="hybridMultilevel"/>
    <w:lvl w:ilvl="0">
      <w:lvlJc w:val="left"/>
      <w:lvlText w:val="·"/>
      <w:numFmt w:val="bullet"/>
      <w:start w:val="1"/>
    </w:lvl>
  </w:abstractNum>
  <w:abstractNum w:abstractNumId="59">
    <w:nsid w:val="6D68AB2"/>
    <w:multiLevelType w:val="hybridMultilevel"/>
    <w:lvl w:ilvl="0">
      <w:lvlJc w:val="left"/>
      <w:lvlText w:val="·"/>
      <w:numFmt w:val="bullet"/>
      <w:start w:val="1"/>
    </w:lvl>
  </w:abstractNum>
  <w:abstractNum w:abstractNumId="60">
    <w:nsid w:val="3A966CD0"/>
    <w:multiLevelType w:val="hybridMultilevel"/>
    <w:lvl w:ilvl="0">
      <w:lvlJc w:val="left"/>
      <w:lvlText w:val="·"/>
      <w:numFmt w:val="bullet"/>
      <w:start w:val="1"/>
    </w:lvl>
  </w:abstractNum>
  <w:abstractNum w:abstractNumId="61">
    <w:nsid w:val="63F37E85"/>
    <w:multiLevelType w:val="hybridMultilevel"/>
    <w:lvl w:ilvl="0">
      <w:lvlJc w:val="left"/>
      <w:lvlText w:val="·"/>
      <w:numFmt w:val="bullet"/>
      <w:start w:val="1"/>
    </w:lvl>
  </w:abstractNum>
  <w:abstractNum w:abstractNumId="62">
    <w:nsid w:val="5895F5F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38A5D054"/>
    <w:multiLevelType w:val="hybridMultilevel"/>
    <w:lvl w:ilvl="0">
      <w:lvlJc w:val="left"/>
      <w:lvlText w:val="%1."/>
      <w:numFmt w:val="upperLetter"/>
      <w:start w:val="3"/>
    </w:lvl>
  </w:abstractNum>
  <w:abstractNum w:abstractNumId="64">
    <w:nsid w:val="F3F09D8"/>
    <w:multiLevelType w:val="hybridMultilevel"/>
    <w:lvl w:ilvl="0">
      <w:lvlJc w:val="left"/>
      <w:lvlText w:val="%1."/>
      <w:numFmt w:val="upperLetter"/>
      <w:start w:val="1"/>
    </w:lvl>
  </w:abstractNum>
  <w:abstractNum w:abstractNumId="65">
    <w:nsid w:val="4B793735"/>
    <w:multiLevelType w:val="hybridMultilevel"/>
    <w:lvl w:ilvl="0">
      <w:lvlJc w:val="left"/>
      <w:lvlText w:val="%1."/>
      <w:numFmt w:val="upperLetter"/>
      <w:start w:val="2"/>
    </w:lvl>
  </w:abstractNum>
  <w:abstractNum w:abstractNumId="66">
    <w:nsid w:val="4A10B4E8"/>
    <w:multiLevelType w:val="hybridMultilevel"/>
    <w:lvl w:ilvl="0">
      <w:lvlJc w:val="left"/>
      <w:lvlText w:val="%1."/>
      <w:numFmt w:val="upperLetter"/>
      <w:start w:val="1"/>
    </w:lvl>
  </w:abstractNum>
  <w:abstractNum w:abstractNumId="67">
    <w:nsid w:val="43D3BCD4"/>
    <w:multiLevelType w:val="hybridMultilevel"/>
    <w:lvl w:ilvl="0">
      <w:lvlJc w:val="left"/>
      <w:lvlText w:val="%1."/>
      <w:numFmt w:val="upperLetter"/>
      <w:start w:val="2"/>
    </w:lvl>
  </w:abstractNum>
  <w:abstractNum w:abstractNumId="68">
    <w:nsid w:val="4C2A7166"/>
    <w:multiLevelType w:val="hybridMultilevel"/>
    <w:lvl w:ilvl="0">
      <w:lvlJc w:val="left"/>
      <w:lvlText w:val="(%1)"/>
      <w:numFmt w:val="lowerLetter"/>
      <w:start w:val="1"/>
    </w:lvl>
  </w:abstractNum>
  <w:abstractNum w:abstractNumId="69">
    <w:nsid w:val="2E534A82"/>
    <w:multiLevelType w:val="hybridMultilevel"/>
    <w:lvl w:ilvl="0">
      <w:lvlJc w:val="left"/>
      <w:lvlText w:val="·"/>
      <w:numFmt w:val="bullet"/>
      <w:start w:val="1"/>
    </w:lvl>
  </w:abstractNum>
  <w:abstractNum w:abstractNumId="70">
    <w:nsid w:val="26F2D364"/>
    <w:multiLevelType w:val="hybridMultilevel"/>
    <w:lvl w:ilvl="0">
      <w:lvlJc w:val="left"/>
      <w:lvlText w:val="%1."/>
      <w:numFmt w:val="upperLetter"/>
      <w:start w:val="3"/>
    </w:lvl>
  </w:abstractNum>
  <w:abstractNum w:abstractNumId="71">
    <w:nsid w:val="71C1AF98"/>
    <w:multiLevelType w:val="hybridMultilevel"/>
    <w:lvl w:ilvl="0">
      <w:lvlJc w:val="left"/>
      <w:lvlText w:val="%1."/>
      <w:numFmt w:val="upperLetter"/>
      <w:start w:val="4"/>
    </w:lvl>
  </w:abstractNum>
  <w:abstractNum w:abstractNumId="72">
    <w:nsid w:val="3D00B9D9"/>
    <w:multiLevelType w:val="hybridMultilevel"/>
    <w:lvl w:ilvl="0">
      <w:lvlJc w:val="left"/>
      <w:lvlText w:val="%1."/>
      <w:numFmt w:val="upperLetter"/>
      <w:start w:val="5"/>
    </w:lvl>
  </w:abstractNum>
  <w:abstractNum w:abstractNumId="73">
    <w:nsid w:val="15BCABA8"/>
    <w:multiLevelType w:val="hybridMultilevel"/>
    <w:lvl w:ilvl="0">
      <w:lvlJc w:val="left"/>
      <w:lvlText w:val="·"/>
      <w:numFmt w:val="bullet"/>
      <w:start w:val="1"/>
    </w:lvl>
  </w:abstractNum>
  <w:abstractNum w:abstractNumId="74">
    <w:nsid w:val="4E0B9A87"/>
    <w:multiLevelType w:val="hybridMultilevel"/>
    <w:lvl w:ilvl="0">
      <w:lvlJc w:val="left"/>
      <w:lvlText w:val="·"/>
      <w:numFmt w:val="bullet"/>
      <w:start w:val="1"/>
    </w:lvl>
  </w:abstractNum>
  <w:abstractNum w:abstractNumId="75">
    <w:nsid w:val="434BAE75"/>
    <w:multiLevelType w:val="hybridMultilevel"/>
    <w:lvl w:ilvl="0">
      <w:lvlJc w:val="left"/>
      <w:lvlText w:val="(%1)"/>
      <w:numFmt w:val="lowerLetter"/>
      <w:start w:val="3"/>
    </w:lvl>
  </w:abstractNum>
  <w:abstractNum w:abstractNumId="76">
    <w:nsid w:val="4F38F265"/>
    <w:multiLevelType w:val="hybridMultilevel"/>
    <w:lvl w:ilvl="0">
      <w:lvlJc w:val="left"/>
      <w:lvlText w:val="·"/>
      <w:numFmt w:val="bullet"/>
      <w:start w:val="1"/>
    </w:lvl>
  </w:abstractNum>
  <w:abstractNum w:abstractNumId="77">
    <w:nsid w:val="4C502870"/>
    <w:multiLevelType w:val="hybridMultilevel"/>
    <w:lvl w:ilvl="0">
      <w:lvlJc w:val="left"/>
      <w:lvlText w:val="(%1)"/>
      <w:numFmt w:val="decimal"/>
      <w:start w:val="1"/>
    </w:lvl>
  </w:abstractNum>
  <w:abstractNum w:abstractNumId="78">
    <w:nsid w:val="1DE8725A"/>
    <w:multiLevelType w:val="hybridMultilevel"/>
    <w:lvl w:ilvl="0">
      <w:lvlJc w:val="left"/>
      <w:lvlText w:val="(%1)"/>
      <w:numFmt w:val="decimal"/>
      <w:start w:val="1"/>
    </w:lvl>
  </w:abstractNum>
  <w:abstractNum w:abstractNumId="79">
    <w:nsid w:val="6A37288A"/>
    <w:multiLevelType w:val="hybridMultilevel"/>
    <w:lvl w:ilvl="0">
      <w:lvlJc w:val="left"/>
      <w:lvlText w:val="%1."/>
      <w:numFmt w:val="upperLetter"/>
      <w:start w:val="6"/>
    </w:lvl>
  </w:abstractNum>
  <w:abstractNum w:abstractNumId="80">
    <w:nsid w:val="8F8B73F"/>
    <w:multiLevelType w:val="hybridMultilevel"/>
    <w:lvl w:ilvl="0">
      <w:lvlJc w:val="left"/>
      <w:lvlText w:val="%1."/>
      <w:numFmt w:val="upperLetter"/>
      <w:start w:val="7"/>
    </w:lvl>
  </w:abstractNum>
  <w:abstractNum w:abstractNumId="81">
    <w:nsid w:val="CA6B462"/>
    <w:multiLevelType w:val="hybridMultilevel"/>
    <w:lvl w:ilvl="0">
      <w:lvlJc w:val="left"/>
      <w:lvlText w:val="%1."/>
      <w:numFmt w:val="upperLetter"/>
      <w:start w:val="8"/>
    </w:lvl>
  </w:abstractNum>
  <w:abstractNum w:abstractNumId="82">
    <w:nsid w:val="763CB680"/>
    <w:multiLevelType w:val="hybridMultilevel"/>
    <w:lvl w:ilvl="0">
      <w:lvlJc w:val="left"/>
      <w:lvlText w:val="%1."/>
      <w:numFmt w:val="upperLetter"/>
      <w:start w:val="9"/>
    </w:lvl>
  </w:abstractNum>
  <w:abstractNum w:abstractNumId="83">
    <w:nsid w:val="15B71329"/>
    <w:multiLevelType w:val="hybridMultilevel"/>
    <w:lvl w:ilvl="0">
      <w:lvlJc w:val="left"/>
      <w:lvlText w:val="%1."/>
      <w:numFmt w:val="upperLetter"/>
      <w:start w:val="1"/>
    </w:lvl>
  </w:abstractNum>
  <w:abstractNum w:abstractNumId="84">
    <w:nsid w:val="3DA97044"/>
    <w:multiLevelType w:val="hybridMultilevel"/>
    <w:lvl w:ilvl="0">
      <w:lvlJc w:val="left"/>
      <w:lvlText w:val="(%1)"/>
      <w:numFmt w:val="decimal"/>
      <w:start w:val="1"/>
    </w:lvl>
  </w:abstractNum>
  <w:abstractNum w:abstractNumId="85">
    <w:nsid w:val="1CDCE2DE"/>
    <w:multiLevelType w:val="hybridMultilevel"/>
    <w:lvl w:ilvl="0">
      <w:lvlJc w:val="left"/>
      <w:lvlText w:val="·"/>
      <w:numFmt w:val="bullet"/>
      <w:start w:val="1"/>
    </w:lvl>
  </w:abstractNum>
  <w:abstractNum w:abstractNumId="86">
    <w:nsid w:val="69D3947C"/>
    <w:multiLevelType w:val="hybridMultilevel"/>
    <w:lvl w:ilvl="0">
      <w:lvlJc w:val="left"/>
      <w:lvlText w:val="%1."/>
      <w:numFmt w:val="decimal"/>
      <w:start w:val="1"/>
    </w:lvl>
  </w:abstractNum>
  <w:abstractNum w:abstractNumId="87">
    <w:nsid w:val="2539DFA5"/>
    <w:multiLevelType w:val="hybridMultilevel"/>
    <w:lvl w:ilvl="0">
      <w:lvlJc w:val="left"/>
      <w:lvlText w:val="(%1)"/>
      <w:numFmt w:val="lowerLetter"/>
      <w:start w:val="1"/>
    </w:lvl>
  </w:abstractNum>
  <w:abstractNum w:abstractNumId="88">
    <w:nsid w:val="2DB88089"/>
    <w:multiLevelType w:val="hybridMultilevel"/>
    <w:lvl w:ilvl="0">
      <w:lvlJc w:val="left"/>
      <w:lvlText w:val="(%1)"/>
      <w:numFmt w:val="lowerLetter"/>
      <w:start w:val="2"/>
    </w:lvl>
  </w:abstractNum>
  <w:abstractNum w:abstractNumId="89">
    <w:nsid w:val="706B674E"/>
    <w:multiLevelType w:val="hybridMultilevel"/>
    <w:lvl w:ilvl="0">
      <w:lvlJc w:val="left"/>
      <w:lvlText w:val="(%1)"/>
      <w:numFmt w:val="decimal"/>
      <w:start w:val="1"/>
    </w:lvl>
  </w:abstractNum>
  <w:abstractNum w:abstractNumId="90">
    <w:nsid w:val="2C106A57"/>
    <w:multiLevelType w:val="hybridMultilevel"/>
    <w:lvl w:ilvl="0">
      <w:lvlJc w:val="left"/>
      <w:lvlText w:val="·"/>
      <w:numFmt w:val="bullet"/>
      <w:start w:val="1"/>
    </w:lvl>
  </w:abstractNum>
  <w:abstractNum w:abstractNumId="91">
    <w:nsid w:val="684EED59"/>
    <w:multiLevelType w:val="hybridMultilevel"/>
    <w:lvl w:ilvl="0">
      <w:lvlJc w:val="left"/>
      <w:lvlText w:val="·"/>
      <w:numFmt w:val="bullet"/>
      <w:start w:val="1"/>
    </w:lvl>
  </w:abstractNum>
  <w:abstractNum w:abstractNumId="92">
    <w:nsid w:val="545EE5D3"/>
    <w:multiLevelType w:val="hybridMultilevel"/>
    <w:lvl w:ilvl="0">
      <w:lvlJc w:val="left"/>
      <w:lvlText w:val="*"/>
      <w:numFmt w:val="bullet"/>
      <w:start w:val="1"/>
    </w:lvl>
  </w:abstractNum>
  <w:abstractNum w:abstractNumId="93">
    <w:nsid w:val="4A66051"/>
    <w:multiLevelType w:val="hybridMultilevel"/>
    <w:lvl w:ilvl="0">
      <w:lvlJc w:val="left"/>
      <w:lvlText w:val="·"/>
      <w:numFmt w:val="bullet"/>
      <w:start w:val="1"/>
    </w:lvl>
  </w:abstractNum>
  <w:abstractNum w:abstractNumId="94">
    <w:nsid w:val="20F4BDAD"/>
    <w:multiLevelType w:val="hybridMultilevel"/>
    <w:lvl w:ilvl="0">
      <w:lvlJc w:val="left"/>
      <w:lvlText w:val="·"/>
      <w:numFmt w:val="bullet"/>
      <w:start w:val="1"/>
    </w:lvl>
  </w:abstractNum>
  <w:abstractNum w:abstractNumId="95">
    <w:nsid w:val="639DEFAC"/>
    <w:multiLevelType w:val="hybridMultilevel"/>
    <w:lvl w:ilvl="0">
      <w:lvlJc w:val="left"/>
      <w:lvlText w:val="·"/>
      <w:numFmt w:val="bullet"/>
      <w:start w:val="1"/>
    </w:lvl>
  </w:abstractNum>
  <w:abstractNum w:abstractNumId="96">
    <w:nsid w:val="501F9786"/>
    <w:multiLevelType w:val="hybridMultilevel"/>
    <w:lvl w:ilvl="0">
      <w:lvlJc w:val="left"/>
      <w:lvlText w:val="%1."/>
      <w:numFmt w:val="decimal"/>
      <w:start w:val="2"/>
    </w:lvl>
  </w:abstractNum>
  <w:abstractNum w:abstractNumId="97">
    <w:nsid w:val="6B057295"/>
    <w:multiLevelType w:val="hybridMultilevel"/>
    <w:lvl w:ilvl="0">
      <w:lvlJc w:val="left"/>
      <w:lvlText w:val="(%1)"/>
      <w:numFmt w:val="lowerLetter"/>
      <w:start w:val="1"/>
    </w:lvl>
  </w:abstractNum>
  <w:abstractNum w:abstractNumId="98">
    <w:nsid w:val="2771AC80"/>
    <w:multiLevelType w:val="hybridMultilevel"/>
    <w:lvl w:ilvl="0">
      <w:lvlJc w:val="left"/>
      <w:lvlText w:val="(%1)"/>
      <w:numFmt w:val="lowerLetter"/>
      <w:start w:val="2"/>
    </w:lvl>
  </w:abstractNum>
  <w:abstractNum w:abstractNumId="99">
    <w:nsid w:val="1C4A08EC"/>
    <w:multiLevelType w:val="hybridMultilevel"/>
    <w:lvl w:ilvl="0">
      <w:lvlJc w:val="left"/>
      <w:lvlText w:val="(%1)"/>
      <w:numFmt w:val="lowerLetter"/>
      <w:start w:val="3"/>
    </w:lvl>
  </w:abstractNum>
  <w:abstractNum w:abstractNumId="100">
    <w:nsid w:val="1958BD17"/>
    <w:multiLevelType w:val="hybridMultilevel"/>
    <w:lvl w:ilvl="0">
      <w:lvlJc w:val="left"/>
      <w:lvlText w:val="(%1)"/>
      <w:numFmt w:val="lowerRoman"/>
      <w:start w:val="1"/>
    </w:lvl>
  </w:abstractNum>
  <w:abstractNum w:abstractNumId="101">
    <w:nsid w:val="4E647FE4"/>
    <w:multiLevelType w:val="hybridMultilevel"/>
    <w:lvl w:ilvl="0">
      <w:lvlJc w:val="left"/>
      <w:lvlText w:val="(%1)"/>
      <w:numFmt w:val="lowerRoman"/>
      <w:start w:val="2"/>
    </w:lvl>
  </w:abstractNum>
  <w:abstractNum w:abstractNumId="102">
    <w:nsid w:val="E0BB885"/>
    <w:multiLevelType w:val="hybridMultilevel"/>
    <w:lvl w:ilvl="0">
      <w:lvlJc w:val="left"/>
      <w:lvlText w:val="(%1)"/>
      <w:numFmt w:val="lowerLetter"/>
      <w:start w:val="1"/>
    </w:lvl>
  </w:abstractNum>
  <w:abstractNum w:abstractNumId="103">
    <w:nsid w:val="565976F1"/>
    <w:multiLevelType w:val="hybridMultilevel"/>
    <w:lvl w:ilvl="0">
      <w:lvlJc w:val="left"/>
      <w:lvlText w:val="(%1)"/>
      <w:numFmt w:val="lowerRoman"/>
      <w:start w:val="3"/>
    </w:lvl>
  </w:abstractNum>
  <w:abstractNum w:abstractNumId="104">
    <w:nsid w:val="64212B8C"/>
    <w:multiLevelType w:val="hybridMultilevel"/>
    <w:lvl w:ilvl="0">
      <w:lvlJc w:val="left"/>
      <w:lvlText w:val="(%1)"/>
      <w:numFmt w:val="lowerLetter"/>
      <w:start w:val="4"/>
    </w:lvl>
  </w:abstractNum>
  <w:abstractNum w:abstractNumId="105">
    <w:nsid w:val="5C17530C"/>
    <w:multiLevelType w:val="hybridMultilevel"/>
    <w:lvl w:ilvl="0">
      <w:lvlJc w:val="left"/>
      <w:lvlText w:val="(%1)"/>
      <w:numFmt w:val="lowerLetter"/>
      <w:start w:val="5"/>
    </w:lvl>
  </w:abstractNum>
  <w:abstractNum w:abstractNumId="106">
    <w:nsid w:val="19A52566"/>
    <w:multiLevelType w:val="hybridMultilevel"/>
    <w:lvl w:ilvl="0">
      <w:lvlJc w:val="left"/>
      <w:lvlText w:val="(%1)"/>
      <w:numFmt w:val="lowerLetter"/>
      <w:start w:val="6"/>
    </w:lvl>
  </w:abstractNum>
  <w:abstractNum w:abstractNumId="107">
    <w:nsid w:val="335A1DF1"/>
    <w:multiLevelType w:val="hybridMultilevel"/>
    <w:lvl w:ilvl="0">
      <w:lvlJc w:val="left"/>
      <w:lvlText w:val="(%1)"/>
      <w:numFmt w:val="lowerLetter"/>
      <w:start w:val="7"/>
    </w:lvl>
  </w:abstractNum>
  <w:abstractNum w:abstractNumId="108">
    <w:nsid w:val="28677B7C"/>
    <w:multiLevelType w:val="hybridMultilevel"/>
    <w:lvl w:ilvl="0">
      <w:lvlJc w:val="left"/>
      <w:lvlText w:val="(%1)"/>
      <w:numFmt w:val="lowerLetter"/>
      <w:start w:val="8"/>
    </w:lvl>
  </w:abstractNum>
  <w:abstractNum w:abstractNumId="109">
    <w:nsid w:val="378D97C0"/>
    <w:multiLevelType w:val="hybridMultilevel"/>
    <w:lvl w:ilvl="0">
      <w:lvlJc w:val="left"/>
      <w:lvlText w:val="(%1)"/>
      <w:numFmt w:val="lowerRoman"/>
      <w:start w:val="1"/>
    </w:lvl>
  </w:abstractNum>
  <w:abstractNum w:abstractNumId="110">
    <w:nsid w:val="1D91467C"/>
    <w:multiLevelType w:val="hybridMultilevel"/>
    <w:lvl w:ilvl="0">
      <w:lvlJc w:val="left"/>
      <w:lvlText w:val="(%1)"/>
      <w:numFmt w:val="lowerLetter"/>
      <w:start w:val="10"/>
    </w:lvl>
  </w:abstractNum>
  <w:abstractNum w:abstractNumId="111">
    <w:nsid w:val="316032BB"/>
    <w:multiLevelType w:val="hybridMultilevel"/>
    <w:lvl w:ilvl="0">
      <w:lvlJc w:val="left"/>
      <w:lvlText w:val="(%1)"/>
      <w:numFmt w:val="lowerLetter"/>
      <w:start w:val="11"/>
    </w:lvl>
  </w:abstractNum>
  <w:abstractNum w:abstractNumId="112">
    <w:nsid w:val="44344C22"/>
    <w:multiLevelType w:val="hybridMultilevel"/>
    <w:lvl w:ilvl="0">
      <w:lvlJc w:val="left"/>
      <w:lvlText w:val="(%1)"/>
      <w:numFmt w:val="lowerLetter"/>
      <w:start w:val="12"/>
    </w:lvl>
  </w:abstractNum>
  <w:abstractNum w:abstractNumId="113">
    <w:nsid w:val="13CDFCFC"/>
    <w:multiLevelType w:val="hybridMultilevel"/>
    <w:lvl w:ilvl="0">
      <w:lvlJc w:val="left"/>
      <w:lvlText w:val="(%1)"/>
      <w:numFmt w:val="lowerLetter"/>
      <w:start w:val="13"/>
    </w:lvl>
  </w:abstractNum>
  <w:abstractNum w:abstractNumId="114">
    <w:nsid w:val="471745E4"/>
    <w:multiLevelType w:val="hybridMultilevel"/>
    <w:lvl w:ilvl="0">
      <w:lvlJc w:val="left"/>
      <w:lvlText w:val="(%1)"/>
      <w:numFmt w:val="lowerLetter"/>
      <w:start w:val="14"/>
    </w:lvl>
  </w:abstractNum>
  <w:abstractNum w:abstractNumId="115">
    <w:nsid w:val="1DDBC66"/>
    <w:multiLevelType w:val="hybridMultilevel"/>
    <w:lvl w:ilvl="0">
      <w:lvlJc w:val="left"/>
      <w:lvlText w:val="(%1)"/>
      <w:numFmt w:val="lowerLetter"/>
      <w:start w:val="15"/>
    </w:lvl>
  </w:abstractNum>
  <w:abstractNum w:abstractNumId="116">
    <w:nsid w:val="30AADFDA"/>
    <w:multiLevelType w:val="hybridMultilevel"/>
    <w:lvl w:ilvl="0">
      <w:lvlJc w:val="left"/>
      <w:lvlText w:val="(%1)"/>
      <w:numFmt w:val="lowerLetter"/>
      <w:start w:val="16"/>
    </w:lvl>
  </w:abstractNum>
  <w:abstractNum w:abstractNumId="117">
    <w:nsid w:val="30EADA61"/>
    <w:multiLevelType w:val="hybridMultilevel"/>
    <w:lvl w:ilvl="0">
      <w:lvlJc w:val="left"/>
      <w:lvlText w:val="(%1)"/>
      <w:numFmt w:val="lowerLetter"/>
      <w:start w:val="17"/>
    </w:lvl>
  </w:abstractNum>
  <w:abstractNum w:abstractNumId="118">
    <w:nsid w:val="27179C0B"/>
    <w:multiLevelType w:val="hybridMultilevel"/>
    <w:lvl w:ilvl="0">
      <w:lvlJc w:val="left"/>
      <w:lvlText w:val="(%1)"/>
      <w:numFmt w:val="lowerLetter"/>
      <w:start w:val="18"/>
    </w:lvl>
  </w:abstractNum>
  <w:abstractNum w:abstractNumId="119">
    <w:nsid w:val="5E636063"/>
    <w:multiLevelType w:val="hybridMultilevel"/>
    <w:lvl w:ilvl="0">
      <w:lvlJc w:val="left"/>
      <w:lvlText w:val="(%1)"/>
      <w:numFmt w:val="lowerLetter"/>
      <w:start w:val="19"/>
    </w:lvl>
  </w:abstractNum>
  <w:abstractNum w:abstractNumId="120">
    <w:nsid w:val="215641AF"/>
    <w:multiLevelType w:val="hybridMultilevel"/>
    <w:lvl w:ilvl="0">
      <w:lvlJc w:val="left"/>
      <w:lvlText w:val="(%1)"/>
      <w:numFmt w:val="lowerLetter"/>
      <w:start w:val="20"/>
    </w:lvl>
  </w:abstractNum>
  <w:abstractNum w:abstractNumId="121">
    <w:nsid w:val="53280662"/>
    <w:multiLevelType w:val="hybridMultilevel"/>
    <w:lvl w:ilvl="0">
      <w:lvlJc w:val="left"/>
      <w:lvlText w:val="(%1)"/>
      <w:numFmt w:val="lowerLetter"/>
      <w:start w:val="21"/>
    </w:lvl>
  </w:abstractNum>
  <w:abstractNum w:abstractNumId="122">
    <w:nsid w:val="46B24DBC"/>
    <w:multiLevelType w:val="hybridMultilevel"/>
    <w:lvl w:ilvl="0">
      <w:lvlJc w:val="left"/>
      <w:lvlText w:val="(%1)"/>
      <w:numFmt w:val="lowerRoman"/>
      <w:start w:val="5"/>
    </w:lvl>
  </w:abstractNum>
  <w:abstractNum w:abstractNumId="123">
    <w:nsid w:val="75B52783"/>
    <w:multiLevelType w:val="hybridMultilevel"/>
    <w:lvl w:ilvl="0">
      <w:lvlJc w:val="left"/>
      <w:lvlText w:val="(%1)"/>
      <w:numFmt w:val="lowerLetter"/>
      <w:start w:val="23"/>
    </w:lvl>
  </w:abstractNum>
  <w:abstractNum w:abstractNumId="124">
    <w:nsid w:val="57CE66B4"/>
    <w:multiLevelType w:val="hybridMultilevel"/>
    <w:lvl w:ilvl="0">
      <w:lvlJc w:val="left"/>
      <w:lvlText w:val="%1."/>
      <w:numFmt w:val="decimal"/>
      <w:start w:val="3"/>
    </w:lvl>
  </w:abstractNum>
  <w:abstractNum w:abstractNumId="125">
    <w:nsid w:val="67A70B69"/>
    <w:multiLevelType w:val="hybridMultilevel"/>
    <w:lvl w:ilvl="0">
      <w:lvlJc w:val="left"/>
      <w:lvlText w:val="(%1)"/>
      <w:numFmt w:val="lowerLetter"/>
      <w:start w:val="1"/>
    </w:lvl>
  </w:abstractNum>
  <w:abstractNum w:abstractNumId="126">
    <w:nsid w:val="5953172F"/>
    <w:multiLevelType w:val="hybridMultilevel"/>
    <w:lvl w:ilvl="0">
      <w:lvlJc w:val="left"/>
      <w:lvlText w:val="(%1)"/>
      <w:numFmt w:val="lowerLetter"/>
      <w:start w:val="2"/>
    </w:lvl>
  </w:abstractNum>
  <w:abstractNum w:abstractNumId="127">
    <w:nsid w:val="27EDFE3A"/>
    <w:multiLevelType w:val="hybridMultilevel"/>
    <w:lvl w:ilvl="0">
      <w:lvlJc w:val="left"/>
      <w:lvlText w:val="%1"/>
      <w:numFmt w:val="upperLetter"/>
      <w:start w:val="27"/>
    </w:lvl>
  </w:abstractNum>
  <w:abstractNum w:abstractNumId="128">
    <w:nsid w:val="52AC7DFF"/>
    <w:multiLevelType w:val="hybridMultilevel"/>
    <w:lvl w:ilvl="0">
      <w:lvlJc w:val="left"/>
      <w:lvlText w:val="(%1)"/>
      <w:numFmt w:val="lowerLetter"/>
      <w:start w:val="3"/>
    </w:lvl>
  </w:abstractNum>
  <w:abstractNum w:abstractNumId="129">
    <w:nsid w:val="C4C3AF"/>
    <w:multiLevelType w:val="hybridMultilevel"/>
    <w:lvl w:ilvl="0">
      <w:lvlJc w:val="left"/>
      <w:lvlText w:val="(%1)"/>
      <w:numFmt w:val="lowerLetter"/>
      <w:start w:val="4"/>
    </w:lvl>
  </w:abstractNum>
  <w:abstractNum w:abstractNumId="130">
    <w:nsid w:val="44380727"/>
    <w:multiLevelType w:val="hybridMultilevel"/>
    <w:lvl w:ilvl="0">
      <w:lvlJc w:val="left"/>
      <w:lvlText w:val="(%1)"/>
      <w:numFmt w:val="lowerLetter"/>
      <w:start w:val="5"/>
    </w:lvl>
  </w:abstractNum>
  <w:abstractNum w:abstractNumId="131">
    <w:nsid w:val="6C053B16"/>
    <w:multiLevelType w:val="hybridMultilevel"/>
    <w:lvl w:ilvl="0">
      <w:lvlJc w:val="left"/>
      <w:lvlText w:val="%1."/>
      <w:numFmt w:val="decimal"/>
      <w:start w:val="4"/>
    </w:lvl>
  </w:abstractNum>
  <w:abstractNum w:abstractNumId="132">
    <w:nsid w:val="4F294393"/>
    <w:multiLevelType w:val="hybridMultilevel"/>
    <w:lvl w:ilvl="0">
      <w:lvlJc w:val="left"/>
      <w:lvlText w:val="%1."/>
      <w:numFmt w:val="decimal"/>
      <w:start w:val="6"/>
    </w:lvl>
  </w:abstractNum>
  <w:abstractNum w:abstractNumId="133">
    <w:nsid w:val="5243BFAC"/>
    <w:multiLevelType w:val="hybridMultilevel"/>
    <w:lvl w:ilvl="0">
      <w:lvlJc w:val="left"/>
      <w:lvlText w:val="%1."/>
      <w:numFmt w:val="decimal"/>
      <w:start w:val="8"/>
    </w:lvl>
  </w:abstractNum>
  <w:abstractNum w:abstractNumId="134">
    <w:nsid w:val="425EB207"/>
    <w:multiLevelType w:val="hybridMultilevel"/>
    <w:lvl w:ilvl="0">
      <w:lvlJc w:val="left"/>
      <w:lvlText w:val="%1."/>
      <w:numFmt w:val="decimal"/>
      <w:start w:val="9"/>
    </w:lvl>
  </w:abstractNum>
  <w:abstractNum w:abstractNumId="135">
    <w:nsid w:val="334A6F1F"/>
    <w:multiLevelType w:val="hybridMultilevel"/>
    <w:lvl w:ilvl="0">
      <w:lvlJc w:val="left"/>
      <w:lvlText w:val="%1."/>
      <w:numFmt w:val="decimal"/>
      <w:start w:val="10"/>
    </w:lvl>
  </w:abstractNum>
  <w:abstractNum w:abstractNumId="136">
    <w:nsid w:val="2E5B12B8"/>
    <w:multiLevelType w:val="hybridMultilevel"/>
    <w:lvl w:ilvl="0">
      <w:lvlJc w:val="left"/>
      <w:lvlText w:val="(%1)"/>
      <w:numFmt w:val="lowerLetter"/>
      <w:start w:val="1"/>
    </w:lvl>
  </w:abstractNum>
  <w:abstractNum w:abstractNumId="137">
    <w:nsid w:val="5C03D76D"/>
    <w:multiLevelType w:val="hybridMultilevel"/>
    <w:lvl w:ilvl="0">
      <w:lvlJc w:val="left"/>
      <w:lvlText w:val="(%1)"/>
      <w:numFmt w:val="decimal"/>
      <w:start w:val="1"/>
    </w:lvl>
  </w:abstractNum>
  <w:abstractNum w:abstractNumId="138">
    <w:nsid w:val="66A48D11"/>
    <w:multiLevelType w:val="hybridMultilevel"/>
    <w:lvl w:ilvl="0">
      <w:lvlJc w:val="left"/>
      <w:lvlText w:val="(%1)"/>
      <w:numFmt w:val="decimal"/>
      <w:start w:val="3"/>
    </w:lvl>
  </w:abstractNum>
  <w:abstractNum w:abstractNumId="139">
    <w:nsid w:val="56C28E34"/>
    <w:multiLevelType w:val="hybridMultilevel"/>
    <w:lvl w:ilvl="0">
      <w:lvlJc w:val="left"/>
      <w:lvlText w:val="(%1)"/>
      <w:numFmt w:val="lowerLetter"/>
      <w:start w:val="2"/>
    </w:lvl>
  </w:abstractNum>
  <w:abstractNum w:abstractNumId="140">
    <w:nsid w:val="13916F2D"/>
    <w:multiLevelType w:val="hybridMultilevel"/>
    <w:lvl w:ilvl="0">
      <w:lvlJc w:val="left"/>
      <w:lvlText w:val="(%1)"/>
      <w:numFmt w:val="lowerLetter"/>
      <w:start w:val="3"/>
    </w:lvl>
  </w:abstractNum>
  <w:abstractNum w:abstractNumId="141">
    <w:nsid w:val="435D38D"/>
    <w:multiLevelType w:val="hybridMultilevel"/>
    <w:lvl w:ilvl="0">
      <w:lvlJc w:val="left"/>
      <w:lvlText w:val="%1."/>
      <w:numFmt w:val="decimal"/>
      <w:start w:val="11"/>
    </w:lvl>
  </w:abstractNum>
  <w:abstractNum w:abstractNumId="142">
    <w:nsid w:val="822C0EF"/>
    <w:multiLevelType w:val="hybridMultilevel"/>
    <w:lvl w:ilvl="0">
      <w:lvlJc w:val="left"/>
      <w:lvlText w:val="(%1)"/>
      <w:numFmt w:val="lowerLetter"/>
      <w:start w:val="1"/>
    </w:lvl>
  </w:abstractNum>
  <w:abstractNum w:abstractNumId="143">
    <w:nsid w:val="57C5BB4F"/>
    <w:multiLevelType w:val="hybridMultilevel"/>
    <w:lvl w:ilvl="0">
      <w:lvlJc w:val="left"/>
      <w:lvlText w:val="(%1)"/>
      <w:numFmt w:val="lowerLetter"/>
      <w:start w:val="2"/>
    </w:lvl>
  </w:abstractNum>
  <w:abstractNum w:abstractNumId="144">
    <w:nsid w:val="1803D089"/>
    <w:multiLevelType w:val="hybridMultilevel"/>
    <w:lvl w:ilvl="0">
      <w:lvlJc w:val="left"/>
      <w:lvlText w:val="(%1)"/>
      <w:numFmt w:val="lowerLetter"/>
      <w:start w:val="3"/>
    </w:lvl>
  </w:abstractNum>
  <w:abstractNum w:abstractNumId="145">
    <w:nsid w:val="4F3A06D4"/>
    <w:multiLevelType w:val="hybridMultilevel"/>
    <w:lvl w:ilvl="0">
      <w:lvlJc w:val="left"/>
      <w:lvlText w:val="(%1)"/>
      <w:numFmt w:val="lowerLetter"/>
      <w:start w:val="4"/>
    </w:lvl>
  </w:abstractNum>
  <w:abstractNum w:abstractNumId="146">
    <w:nsid w:val="59A377B6"/>
    <w:multiLevelType w:val="hybridMultilevel"/>
    <w:lvl w:ilvl="0">
      <w:lvlJc w:val="left"/>
      <w:lvlText w:val="%1."/>
      <w:numFmt w:val="decimal"/>
      <w:start w:val="14"/>
    </w:lvl>
  </w:abstractNum>
  <w:abstractNum w:abstractNumId="147">
    <w:nsid w:val="48AEB063"/>
    <w:multiLevelType w:val="hybridMultilevel"/>
    <w:lvl w:ilvl="0">
      <w:lvlJc w:val="left"/>
      <w:lvlText w:val="%1."/>
      <w:numFmt w:val="decimal"/>
      <w:start w:val="15"/>
    </w:lvl>
  </w:abstractNum>
  <w:abstractNum w:abstractNumId="148">
    <w:nsid w:val="24E135"/>
    <w:multiLevelType w:val="hybridMultilevel"/>
    <w:lvl w:ilvl="0">
      <w:lvlJc w:val="left"/>
      <w:lvlText w:val="%1."/>
      <w:numFmt w:val="decimal"/>
      <w:start w:val="16"/>
    </w:lvl>
  </w:abstractNum>
  <w:abstractNum w:abstractNumId="149">
    <w:nsid w:val="BB13C1"/>
    <w:multiLevelType w:val="hybridMultilevel"/>
    <w:lvl w:ilvl="0">
      <w:lvlJc w:val="left"/>
      <w:lvlText w:val="%1."/>
      <w:numFmt w:val="decimal"/>
      <w:start w:val="17"/>
    </w:lvl>
  </w:abstractNum>
  <w:abstractNum w:abstractNumId="150">
    <w:nsid w:val="271210C7"/>
    <w:multiLevelType w:val="hybridMultilevel"/>
    <w:lvl w:ilvl="0">
      <w:lvlJc w:val="left"/>
      <w:lvlText w:val="%1."/>
      <w:numFmt w:val="decimal"/>
      <w:start w:val="18"/>
    </w:lvl>
  </w:abstractNum>
  <w:abstractNum w:abstractNumId="151">
    <w:nsid w:val="217B22E4"/>
    <w:multiLevelType w:val="hybridMultilevel"/>
    <w:lvl w:ilvl="0">
      <w:lvlJc w:val="left"/>
      <w:lvlText w:val="%1."/>
      <w:numFmt w:val="decimal"/>
      <w:start w:val="19"/>
    </w:lvl>
  </w:abstractNum>
  <w:abstractNum w:abstractNumId="152">
    <w:nsid w:val="53E31A24"/>
    <w:multiLevelType w:val="hybridMultilevel"/>
    <w:lvl w:ilvl="0">
      <w:lvlJc w:val="left"/>
      <w:lvlText w:val="%1."/>
      <w:numFmt w:val="decimal"/>
      <w:start w:val="20"/>
    </w:lvl>
  </w:abstractNum>
  <w:abstractNum w:abstractNumId="153">
    <w:nsid w:val="6DC45E83"/>
    <w:multiLevelType w:val="hybridMultilevel"/>
    <w:lvl w:ilvl="0">
      <w:lvlJc w:val="left"/>
      <w:lvlText w:val="(%1)"/>
      <w:numFmt w:val="lowerLetter"/>
      <w:start w:val="1"/>
    </w:lvl>
  </w:abstractNum>
  <w:abstractNum w:abstractNumId="154">
    <w:nsid w:val="17304A67"/>
    <w:multiLevelType w:val="hybridMultilevel"/>
    <w:lvl w:ilvl="0">
      <w:lvlJc w:val="left"/>
      <w:lvlText w:val="(%1)"/>
      <w:numFmt w:val="lowerLetter"/>
      <w:start w:val="2"/>
    </w:lvl>
  </w:abstractNum>
  <w:abstractNum w:abstractNumId="155">
    <w:nsid w:val="2BB180D8"/>
    <w:multiLevelType w:val="hybridMultilevel"/>
    <w:lvl w:ilvl="0">
      <w:lvlJc w:val="left"/>
      <w:lvlText w:val="(%1)"/>
      <w:numFmt w:val="lowerLetter"/>
      <w:start w:val="3"/>
    </w:lvl>
  </w:abstractNum>
  <w:abstractNum w:abstractNumId="156">
    <w:nsid w:val="556B69ED"/>
    <w:multiLevelType w:val="hybridMultilevel"/>
    <w:lvl w:ilvl="0">
      <w:lvlJc w:val="left"/>
      <w:lvlText w:val="(%1)"/>
      <w:numFmt w:val="lowerLetter"/>
      <w:start w:val="4"/>
    </w:lvl>
  </w:abstractNum>
  <w:abstractNum w:abstractNumId="157">
    <w:nsid w:val="70836196"/>
    <w:multiLevelType w:val="hybridMultilevel"/>
    <w:lvl w:ilvl="0">
      <w:lvlJc w:val="left"/>
      <w:lvlText w:val="(%1)"/>
      <w:numFmt w:val="lowerLetter"/>
      <w:start w:val="5"/>
    </w:lvl>
  </w:abstractNum>
  <w:abstractNum w:abstractNumId="158">
    <w:nsid w:val="539F7F12"/>
    <w:multiLevelType w:val="hybridMultilevel"/>
    <w:lvl w:ilvl="0">
      <w:lvlJc w:val="left"/>
      <w:lvlText w:val="(%1)"/>
      <w:numFmt w:val="lowerLetter"/>
      <w:start w:val="6"/>
    </w:lvl>
  </w:abstractNum>
  <w:abstractNum w:abstractNumId="159">
    <w:nsid w:val="2817E7EC"/>
    <w:multiLevelType w:val="hybridMultilevel"/>
    <w:lvl w:ilvl="0">
      <w:lvlJc w:val="left"/>
      <w:lvlText w:val="%1."/>
      <w:numFmt w:val="decimal"/>
      <w:start w:val="21"/>
    </w:lvl>
  </w:abstractNum>
  <w:abstractNum w:abstractNumId="160">
    <w:nsid w:val="71482545"/>
    <w:multiLevelType w:val="hybridMultilevel"/>
    <w:lvl w:ilvl="0">
      <w:lvlJc w:val="left"/>
      <w:lvlText w:val="%1."/>
      <w:numFmt w:val="decimal"/>
      <w:start w:val="22"/>
    </w:lvl>
    <w:lvl w:ilvl="1">
      <w:lvlJc w:val="left"/>
      <w:lvlText w:val="(%2)"/>
      <w:numFmt w:val="lowerLetter"/>
      <w:start w:val="1"/>
    </w:lvl>
  </w:abstractNum>
  <w:abstractNum w:abstractNumId="161">
    <w:nsid w:val="17D78639"/>
    <w:multiLevelType w:val="hybridMultilevel"/>
    <w:lvl w:ilvl="0">
      <w:lvlJc w:val="left"/>
      <w:lvlText w:val="(%1)"/>
      <w:numFmt w:val="lowerLetter"/>
      <w:start w:val="2"/>
    </w:lvl>
  </w:abstractNum>
  <w:abstractNum w:abstractNumId="162">
    <w:nsid w:val="141D2302"/>
    <w:multiLevelType w:val="hybridMultilevel"/>
    <w:lvl w:ilvl="0">
      <w:lvlJc w:val="left"/>
      <w:lvlText w:val="%1."/>
      <w:numFmt w:val="decimal"/>
      <w:start w:val="23"/>
    </w:lvl>
  </w:abstractNum>
  <w:abstractNum w:abstractNumId="163">
    <w:nsid w:val="407168D8"/>
    <w:multiLevelType w:val="hybridMultilevel"/>
    <w:lvl w:ilvl="0">
      <w:lvlJc w:val="left"/>
      <w:lvlText w:val="%1."/>
      <w:numFmt w:val="decimal"/>
      <w:start w:val="24"/>
    </w:lvl>
  </w:abstractNum>
  <w:abstractNum w:abstractNumId="164">
    <w:nsid w:val="6A1B45E5"/>
    <w:multiLevelType w:val="hybridMultilevel"/>
    <w:lvl w:ilvl="0">
      <w:lvlJc w:val="left"/>
      <w:lvlText w:val="%1."/>
      <w:numFmt w:val="decimal"/>
      <w:start w:val="25"/>
    </w:lvl>
  </w:abstractNum>
  <w:abstractNum w:abstractNumId="165">
    <w:nsid w:val="567BD50A"/>
    <w:multiLevelType w:val="hybridMultilevel"/>
    <w:lvl w:ilvl="0">
      <w:lvlJc w:val="left"/>
      <w:lvlText w:val="%1."/>
      <w:numFmt w:val="decimal"/>
      <w:start w:val="26"/>
    </w:lvl>
  </w:abstractNum>
  <w:abstractNum w:abstractNumId="166">
    <w:nsid w:val="73BBD7F8"/>
    <w:multiLevelType w:val="hybridMultilevel"/>
    <w:lvl w:ilvl="0">
      <w:lvlJc w:val="left"/>
      <w:lvlText w:val="(%1)"/>
      <w:numFmt w:val="lowerLetter"/>
      <w:start w:val="1"/>
    </w:lvl>
  </w:abstractNum>
  <w:abstractNum w:abstractNumId="167">
    <w:nsid w:val="1876589D"/>
    <w:multiLevelType w:val="hybridMultilevel"/>
    <w:lvl w:ilvl="0">
      <w:lvlJc w:val="left"/>
      <w:lvlText w:val="(%1)"/>
      <w:numFmt w:val="lowerLetter"/>
      <w:start w:val="2"/>
    </w:lvl>
  </w:abstractNum>
  <w:abstractNum w:abstractNumId="168">
    <w:nsid w:val="327FAC77"/>
    <w:multiLevelType w:val="hybridMultilevel"/>
    <w:lvl w:ilvl="0">
      <w:lvlJc w:val="left"/>
      <w:lvlText w:val="%1."/>
      <w:numFmt w:val="decimal"/>
      <w:start w:val="27"/>
    </w:lvl>
  </w:abstractNum>
  <w:abstractNum w:abstractNumId="169">
    <w:nsid w:val="5A606509"/>
    <w:multiLevelType w:val="hybridMultilevel"/>
    <w:lvl w:ilvl="0">
      <w:lvlJc w:val="left"/>
      <w:lvlText w:val="%1."/>
      <w:numFmt w:val="decimal"/>
      <w:start w:val="28"/>
    </w:lvl>
  </w:abstractNum>
  <w:abstractNum w:abstractNumId="170">
    <w:nsid w:val="6F38E6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71">
    <w:nsid w:val="46111BA5"/>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172">
    <w:nsid w:val="5E9638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3">
    <w:nsid w:val="775BA7C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74">
    <w:nsid w:val="1DD6D6F4"/>
    <w:multiLevelType w:val="hybridMultilevel"/>
    <w:lvl w:ilvl="0">
      <w:lvlJc w:val="left"/>
      <w:lvlText w:val="%1."/>
      <w:numFmt w:val="decimal"/>
      <w:start w:val="1"/>
    </w:lvl>
  </w:abstractNum>
  <w:abstractNum w:abstractNumId="175">
    <w:nsid w:val="769A091F"/>
    <w:multiLevelType w:val="hybridMultilevel"/>
    <w:lvl w:ilvl="0">
      <w:lvlJc w:val="left"/>
      <w:lvlText w:val="%1."/>
      <w:numFmt w:val="decimal"/>
      <w:start w:val="1"/>
    </w:lvl>
  </w:abstractNum>
  <w:abstractNum w:abstractNumId="176">
    <w:nsid w:val="4695AE95"/>
    <w:multiLevelType w:val="hybridMultilevel"/>
    <w:lvl w:ilvl="0">
      <w:lvlJc w:val="left"/>
      <w:lvlText w:val="%1."/>
      <w:numFmt w:val="decimal"/>
      <w:start w:val="4"/>
    </w:lvl>
    <w:lvl w:ilvl="1">
      <w:lvlJc w:val="left"/>
      <w:lvlText w:val="%2."/>
      <w:numFmt w:val="lowerLetter"/>
      <w:start w:val="1"/>
    </w:lvl>
  </w:abstractNum>
  <w:abstractNum w:abstractNumId="177">
    <w:nsid w:val="777A4EAA"/>
    <w:multiLevelType w:val="hybridMultilevel"/>
    <w:lvl w:ilvl="0">
      <w:lvlJc w:val="left"/>
      <w:lvlText w:val="%1."/>
      <w:numFmt w:val="decimal"/>
      <w:start w:val="1"/>
    </w:lvl>
  </w:abstractNum>
  <w:abstractNum w:abstractNumId="178">
    <w:nsid w:val="3F48B982"/>
    <w:multiLevelType w:val="hybridMultilevel"/>
    <w:lvl w:ilvl="0">
      <w:lvlJc w:val="left"/>
      <w:lvlText w:val="%1."/>
      <w:numFmt w:val="decimal"/>
      <w:start w:val="1"/>
    </w:lvl>
  </w:abstractNum>
  <w:abstractNum w:abstractNumId="179">
    <w:nsid w:val="46BA8FCA"/>
    <w:multiLevelType w:val="hybridMultilevel"/>
    <w:lvl w:ilvl="0">
      <w:lvlJc w:val="left"/>
      <w:lvlText w:val="%1."/>
      <w:numFmt w:val="decimal"/>
      <w:start w:val="4"/>
    </w:lvl>
    <w:lvl w:ilvl="1">
      <w:lvlJc w:val="left"/>
      <w:lvlText w:val="%2."/>
      <w:numFmt w:val="lowerLetter"/>
      <w:start w:val="1"/>
    </w:lvl>
  </w:abstractNum>
  <w:abstractNum w:abstractNumId="180">
    <w:nsid w:val="7835626C"/>
    <w:multiLevelType w:val="hybridMultilevel"/>
    <w:lvl w:ilvl="0">
      <w:lvlJc w:val="left"/>
      <w:lvlText w:val="%1."/>
      <w:numFmt w:val="decimal"/>
      <w:start w:val="1"/>
    </w:lvl>
  </w:abstractNum>
  <w:abstractNum w:abstractNumId="181">
    <w:nsid w:val="665ACA49"/>
    <w:multiLevelType w:val="hybridMultilevel"/>
    <w:lvl w:ilvl="0">
      <w:lvlJc w:val="left"/>
      <w:lvlText w:val="%1."/>
      <w:numFmt w:val="decimal"/>
      <w:start w:val="1"/>
    </w:lvl>
    <w:lvl w:ilvl="1">
      <w:lvlJc w:val="left"/>
      <w:lvlText w:val="(%2)"/>
      <w:numFmt w:val="lowerLetter"/>
      <w:start w:val="1"/>
    </w:lvl>
  </w:abstractNum>
  <w:abstractNum w:abstractNumId="182">
    <w:nsid w:val="6835B2AE"/>
    <w:multiLevelType w:val="hybridMultilevel"/>
    <w:lvl w:ilvl="0">
      <w:lvlJc w:val="left"/>
      <w:lvlText w:val="%1"/>
      <w:numFmt w:val="decimal"/>
      <w:start w:val="1"/>
    </w:lvl>
    <w:lvl w:ilvl="1">
      <w:lvlJc w:val="left"/>
      <w:lvlText w:val="(%2)"/>
      <w:numFmt w:val="lowerLetter"/>
      <w:start w:val="5"/>
    </w:lvl>
  </w:abstractNum>
  <w:abstractNum w:abstractNumId="183">
    <w:nsid w:val="4C187C90"/>
    <w:multiLevelType w:val="hybridMultilevel"/>
    <w:lvl w:ilvl="0">
      <w:lvlJc w:val="left"/>
      <w:lvlText w:val="%1."/>
      <w:numFmt w:val="decimal"/>
      <w:start w:val="4"/>
    </w:lvl>
    <w:lvl w:ilvl="1">
      <w:lvlJc w:val="left"/>
      <w:lvlText w:val="(%2)"/>
      <w:numFmt w:val="lowerLetter"/>
      <w:start w:val="1"/>
    </w:lvl>
  </w:abstractNum>
  <w:abstractNum w:abstractNumId="184">
    <w:nsid w:val="541F28CD"/>
    <w:multiLevelType w:val="hybridMultilevel"/>
    <w:lvl w:ilvl="0">
      <w:lvlJc w:val="left"/>
      <w:lvlText w:val="%1."/>
      <w:numFmt w:val="decimal"/>
      <w:start w:val="6"/>
    </w:lvl>
    <w:lvl w:ilvl="1">
      <w:lvlJc w:val="left"/>
      <w:lvlText w:val="(%2)"/>
      <w:numFmt w:val="lowerLetter"/>
      <w:start w:val="1"/>
    </w:lvl>
  </w:abstractNum>
  <w:abstractNum w:abstractNumId="185">
    <w:nsid w:val="7F65FD16"/>
    <w:multiLevelType w:val="hybridMultilevel"/>
    <w:lvl w:ilvl="0">
      <w:lvlJc w:val="left"/>
      <w:lvlText w:val="%1"/>
      <w:numFmt w:val="decimal"/>
      <w:start w:val="1"/>
    </w:lvl>
    <w:lvl w:ilvl="1">
      <w:lvlJc w:val="left"/>
      <w:lvlText w:val="(%2)"/>
      <w:numFmt w:val="lowerLetter"/>
      <w:start w:val="2"/>
    </w:lvl>
  </w:abstractNum>
  <w:abstractNum w:abstractNumId="186">
    <w:nsid w:val="77C9FD68"/>
    <w:multiLevelType w:val="hybridMultilevel"/>
    <w:lvl w:ilvl="0">
      <w:lvlJc w:val="left"/>
      <w:lvlText w:val="%1."/>
      <w:numFmt w:val="decimal"/>
      <w:start w:val="7"/>
    </w:lvl>
    <w:lvl w:ilvl="1">
      <w:lvlJc w:val="left"/>
      <w:lvlText w:val="(%2)"/>
      <w:numFmt w:val="lowerLetter"/>
      <w:start w:val="1"/>
    </w:lvl>
  </w:abstractNum>
  <w:abstractNum w:abstractNumId="187">
    <w:nsid w:val="298A92BA"/>
    <w:multiLevelType w:val="hybridMultilevel"/>
    <w:lvl w:ilvl="0">
      <w:lvlJc w:val="left"/>
      <w:lvlText w:val="%1"/>
      <w:numFmt w:val="decimal"/>
      <w:start w:val="1"/>
    </w:lvl>
    <w:lvl w:ilvl="1">
      <w:lvlJc w:val="left"/>
      <w:lvlText w:val="(%2)"/>
      <w:numFmt w:val="lowerLetter"/>
      <w:start w:val="5"/>
    </w:lvl>
  </w:abstractNum>
  <w:abstractNum w:abstractNumId="188">
    <w:nsid w:val="6FE95EAC"/>
    <w:multiLevelType w:val="hybridMultilevel"/>
    <w:lvl w:ilvl="0">
      <w:lvlJc w:val="left"/>
      <w:lvlText w:val="%1."/>
      <w:numFmt w:val="decimal"/>
      <w:start w:val="10"/>
    </w:lvl>
    <w:lvl w:ilvl="1">
      <w:lvlJc w:val="left"/>
      <w:lvlText w:val="(%2)"/>
      <w:numFmt w:val="lowerLetter"/>
      <w:start w:val="1"/>
    </w:lvl>
  </w:abstractNum>
  <w:abstractNum w:abstractNumId="189">
    <w:nsid w:val="4B697C7A"/>
    <w:multiLevelType w:val="hybridMultilevel"/>
    <w:lvl w:ilvl="0">
      <w:lvlJc w:val="left"/>
      <w:lvlText w:val="%1"/>
      <w:numFmt w:val="decimal"/>
      <w:start w:val="1"/>
    </w:lvl>
    <w:lvl w:ilvl="1">
      <w:lvlJc w:val="left"/>
      <w:lvlText w:val="(%2)"/>
      <w:numFmt w:val="lowerLetter"/>
      <w:start w:val="8"/>
    </w:lvl>
  </w:abstractNum>
  <w:abstractNum w:abstractNumId="190">
    <w:nsid w:val="51A27AA6"/>
    <w:multiLevelType w:val="hybridMultilevel"/>
    <w:lvl w:ilvl="0">
      <w:lvlJc w:val="left"/>
      <w:lvlText w:val="%1."/>
      <w:numFmt w:val="decimal"/>
      <w:start w:val="11"/>
    </w:lvl>
    <w:lvl w:ilvl="1">
      <w:lvlJc w:val="left"/>
      <w:lvlText w:val="(%2)"/>
      <w:numFmt w:val="lowerLetter"/>
      <w:start w:val="1"/>
    </w:lvl>
  </w:abstractNum>
  <w:abstractNum w:abstractNumId="191">
    <w:nsid w:val="613183F2"/>
    <w:multiLevelType w:val="hybridMultilevel"/>
    <w:lvl w:ilvl="0">
      <w:lvlJc w:val="left"/>
      <w:lvlText w:val="%1"/>
      <w:numFmt w:val="decimal"/>
      <w:start w:val="1"/>
    </w:lvl>
    <w:lvl w:ilvl="1">
      <w:lvlJc w:val="left"/>
      <w:lvlText w:val="(%2)"/>
      <w:numFmt w:val="lowerLetter"/>
      <w:start w:val="3"/>
    </w:lvl>
  </w:abstractNum>
  <w:abstractNum w:abstractNumId="192">
    <w:nsid w:val="634102B4"/>
    <w:multiLevelType w:val="hybridMultilevel"/>
    <w:lvl w:ilvl="0">
      <w:lvlJc w:val="left"/>
      <w:lvlText w:val="%1."/>
      <w:numFmt w:val="decimal"/>
      <w:start w:val="12"/>
    </w:lvl>
    <w:lvl w:ilvl="1">
      <w:lvlJc w:val="left"/>
      <w:lvlText w:val="(%2)"/>
      <w:numFmt w:val="lowerLetter"/>
      <w:start w:val="1"/>
    </w:lvl>
  </w:abstractNum>
  <w:abstractNum w:abstractNumId="193">
    <w:nsid w:val="65BF9DA8"/>
    <w:multiLevelType w:val="hybridMultilevel"/>
    <w:lvl w:ilvl="0">
      <w:lvlJc w:val="left"/>
      <w:lvlText w:val="(%1)"/>
      <w:numFmt w:val="lowerLetter"/>
      <w:start w:val="5"/>
    </w:lvl>
  </w:abstractNum>
  <w:abstractNum w:abstractNumId="194">
    <w:nsid w:val="21A2ECCA"/>
    <w:multiLevelType w:val="hybridMultilevel"/>
    <w:lvl w:ilvl="0">
      <w:lvlJc w:val="left"/>
      <w:lvlText w:val="%1"/>
      <w:numFmt w:val="decimal"/>
      <w:start w:val="1"/>
    </w:lvl>
    <w:lvl w:ilvl="1">
      <w:lvlJc w:val="left"/>
      <w:lvlText w:val="(%2)"/>
      <w:numFmt w:val="lowerLetter"/>
      <w:start w:val="11"/>
    </w:lvl>
  </w:abstractNum>
  <w:abstractNum w:abstractNumId="195">
    <w:nsid w:val="4D5C4899"/>
    <w:multiLevelType w:val="hybridMultilevel"/>
    <w:lvl w:ilvl="0">
      <w:lvlJc w:val="left"/>
      <w:lvlText w:val="%1."/>
      <w:numFmt w:val="decimal"/>
      <w:start w:val="13"/>
    </w:lvl>
    <w:lvl w:ilvl="1">
      <w:lvlJc w:val="left"/>
      <w:lvlText w:val="%2"/>
      <w:numFmt w:val="lowerLetter"/>
      <w:start w:val="1"/>
    </w:lvl>
  </w:abstractNum>
  <w:abstractNum w:abstractNumId="196">
    <w:nsid w:val="3C3B72B2"/>
    <w:multiLevelType w:val="hybridMultilevel"/>
    <w:lvl w:ilvl="0">
      <w:lvlJc w:val="left"/>
      <w:lvlText w:val="%1."/>
      <w:numFmt w:val="decimal"/>
      <w:start w:val="15"/>
    </w:lvl>
  </w:abstractNum>
  <w:abstractNum w:abstractNumId="197">
    <w:nsid w:val="155EC4C2"/>
    <w:multiLevelType w:val="hybridMultilevel"/>
    <w:lvl w:ilvl="0">
      <w:lvlJc w:val="left"/>
      <w:lvlText w:val="%1."/>
      <w:numFmt w:val="decimal"/>
      <w:start w:val="16"/>
    </w:lvl>
  </w:abstractNum>
  <w:abstractNum w:abstractNumId="198">
    <w:nsid w:val="65D2A137"/>
    <w:multiLevelType w:val="hybridMultilevel"/>
    <w:lvl w:ilvl="0">
      <w:lvlJc w:val="left"/>
      <w:lvlText w:val="%1."/>
      <w:numFmt w:val="decimal"/>
      <w:start w:val="23"/>
    </w:lvl>
  </w:abstractNum>
  <w:abstractNum w:abstractNumId="199">
    <w:nsid w:val="6EBB1F2A"/>
    <w:multiLevelType w:val="hybridMultilevel"/>
    <w:lvl w:ilvl="0">
      <w:lvlJc w:val="left"/>
      <w:lvlText w:val="%1."/>
      <w:numFmt w:val="decimal"/>
      <w:start w:val="1"/>
    </w:lvl>
  </w:abstractNum>
  <w:abstractNum w:abstractNumId="200">
    <w:nsid w:val="6FBF29CB"/>
    <w:multiLevelType w:val="hybridMultilevel"/>
    <w:lvl w:ilvl="0">
      <w:lvlJc w:val="left"/>
      <w:lvlText w:val="%1."/>
      <w:numFmt w:val="decimal"/>
      <w:start w:val="1"/>
    </w:lvl>
    <w:lvl w:ilvl="1">
      <w:lvlJc w:val="left"/>
      <w:lvlText w:val="(%2)"/>
      <w:numFmt w:val="lowerLetter"/>
      <w:start w:val="1"/>
    </w:lvl>
  </w:abstractNum>
  <w:abstractNum w:abstractNumId="201">
    <w:nsid w:val="550B8808"/>
    <w:multiLevelType w:val="hybridMultilevel"/>
    <w:lvl w:ilvl="0">
      <w:lvlJc w:val="left"/>
      <w:lvlText w:val="%1"/>
      <w:numFmt w:val="decimal"/>
      <w:start w:val="1"/>
    </w:lvl>
    <w:lvl w:ilvl="1">
      <w:lvlJc w:val="left"/>
      <w:lvlText w:val="(%2)"/>
      <w:numFmt w:val="lowerLetter"/>
      <w:start w:val="5"/>
    </w:lvl>
  </w:abstractNum>
  <w:abstractNum w:abstractNumId="202">
    <w:nsid w:val="34CC3ACF"/>
    <w:multiLevelType w:val="hybridMultilevel"/>
    <w:lvl w:ilvl="0">
      <w:lvlJc w:val="left"/>
      <w:lvlText w:val="%1."/>
      <w:numFmt w:val="decimal"/>
      <w:start w:val="4"/>
    </w:lvl>
    <w:lvl w:ilvl="1">
      <w:lvlJc w:val="left"/>
      <w:lvlText w:val="(%2)"/>
      <w:numFmt w:val="lowerLetter"/>
      <w:start w:val="1"/>
    </w:lvl>
  </w:abstractNum>
  <w:abstractNum w:abstractNumId="203">
    <w:nsid w:val="4E556261"/>
    <w:multiLevelType w:val="hybridMultilevel"/>
    <w:lvl w:ilvl="0">
      <w:lvlJc w:val="left"/>
      <w:lvlText w:val="%1."/>
      <w:numFmt w:val="decimal"/>
      <w:start w:val="6"/>
    </w:lvl>
    <w:lvl w:ilvl="1">
      <w:lvlJc w:val="left"/>
      <w:lvlText w:val="(%2)"/>
      <w:numFmt w:val="lowerLetter"/>
      <w:start w:val="1"/>
    </w:lvl>
  </w:abstractNum>
  <w:abstractNum w:abstractNumId="204">
    <w:nsid w:val="4C672FC9"/>
    <w:multiLevelType w:val="hybridMultilevel"/>
    <w:lvl w:ilvl="0">
      <w:lvlJc w:val="left"/>
      <w:lvlText w:val="%1"/>
      <w:numFmt w:val="decimal"/>
      <w:start w:val="1"/>
    </w:lvl>
    <w:lvl w:ilvl="1">
      <w:lvlJc w:val="left"/>
      <w:lvlText w:val="(%2)"/>
      <w:numFmt w:val="lowerLetter"/>
      <w:start w:val="2"/>
    </w:lvl>
  </w:abstractNum>
  <w:abstractNum w:abstractNumId="205">
    <w:nsid w:val="52A311C3"/>
    <w:multiLevelType w:val="hybridMultilevel"/>
    <w:lvl w:ilvl="0">
      <w:lvlJc w:val="left"/>
      <w:lvlText w:val="%1."/>
      <w:numFmt w:val="decimal"/>
      <w:start w:val="7"/>
    </w:lvl>
    <w:lvl w:ilvl="1">
      <w:lvlJc w:val="left"/>
      <w:lvlText w:val="(%2)"/>
      <w:numFmt w:val="lowerLetter"/>
      <w:start w:val="1"/>
    </w:lvl>
  </w:abstractNum>
  <w:abstractNum w:abstractNumId="206">
    <w:nsid w:val="44EF6B80"/>
    <w:multiLevelType w:val="hybridMultilevel"/>
    <w:lvl w:ilvl="0">
      <w:lvlJc w:val="left"/>
      <w:lvlText w:val="%1"/>
      <w:numFmt w:val="decimal"/>
      <w:start w:val="1"/>
    </w:lvl>
    <w:lvl w:ilvl="1">
      <w:lvlJc w:val="left"/>
      <w:lvlText w:val="(%2)"/>
      <w:numFmt w:val="lowerLetter"/>
      <w:start w:val="5"/>
    </w:lvl>
  </w:abstractNum>
  <w:abstractNum w:abstractNumId="207">
    <w:nsid w:val="12FCDE5E"/>
    <w:multiLevelType w:val="hybridMultilevel"/>
    <w:lvl w:ilvl="0">
      <w:lvlJc w:val="left"/>
      <w:lvlText w:val="%1."/>
      <w:numFmt w:val="decimal"/>
      <w:start w:val="10"/>
    </w:lvl>
    <w:lvl w:ilvl="1">
      <w:lvlJc w:val="left"/>
      <w:lvlText w:val="(%2)"/>
      <w:numFmt w:val="lowerLetter"/>
      <w:start w:val="1"/>
    </w:lvl>
  </w:abstractNum>
  <w:abstractNum w:abstractNumId="208">
    <w:nsid w:val="4A1D606E"/>
    <w:multiLevelType w:val="hybridMultilevel"/>
    <w:lvl w:ilvl="0">
      <w:lvlJc w:val="left"/>
      <w:lvlText w:val="%1"/>
      <w:numFmt w:val="decimal"/>
      <w:start w:val="1"/>
    </w:lvl>
    <w:lvl w:ilvl="1">
      <w:lvlJc w:val="left"/>
      <w:lvlText w:val="(%2)"/>
      <w:numFmt w:val="lowerLetter"/>
      <w:start w:val="8"/>
    </w:lvl>
  </w:abstractNum>
  <w:abstractNum w:abstractNumId="209">
    <w:nsid w:val="4382503"/>
    <w:multiLevelType w:val="hybridMultilevel"/>
    <w:lvl w:ilvl="0">
      <w:lvlJc w:val="left"/>
      <w:lvlText w:val="%1."/>
      <w:numFmt w:val="decimal"/>
      <w:start w:val="11"/>
    </w:lvl>
    <w:lvl w:ilvl="1">
      <w:lvlJc w:val="left"/>
      <w:lvlText w:val="(%2)"/>
      <w:numFmt w:val="lowerLetter"/>
      <w:start w:val="1"/>
    </w:lvl>
  </w:abstractNum>
  <w:abstractNum w:abstractNumId="210">
    <w:nsid w:val="59B76E28"/>
    <w:multiLevelType w:val="hybridMultilevel"/>
    <w:lvl w:ilvl="0">
      <w:lvlJc w:val="left"/>
      <w:lvlText w:val="%1"/>
      <w:numFmt w:val="decimal"/>
      <w:start w:val="1"/>
    </w:lvl>
    <w:lvl w:ilvl="1">
      <w:lvlJc w:val="left"/>
      <w:lvlText w:val="(%2)"/>
      <w:numFmt w:val="lowerLetter"/>
      <w:start w:val="3"/>
    </w:lvl>
  </w:abstractNum>
  <w:abstractNum w:abstractNumId="211">
    <w:nsid w:val="4252C2DA"/>
    <w:multiLevelType w:val="hybridMultilevel"/>
    <w:lvl w:ilvl="0">
      <w:lvlJc w:val="left"/>
      <w:lvlText w:val="%1."/>
      <w:numFmt w:val="decimal"/>
      <w:start w:val="12"/>
    </w:lvl>
    <w:lvl w:ilvl="1">
      <w:lvlJc w:val="left"/>
      <w:lvlText w:val="(%2)"/>
      <w:numFmt w:val="lowerLetter"/>
      <w:start w:val="1"/>
    </w:lvl>
  </w:abstractNum>
  <w:abstractNum w:abstractNumId="212">
    <w:nsid w:val="6A92EF4C"/>
    <w:multiLevelType w:val="hybridMultilevel"/>
    <w:lvl w:ilvl="0">
      <w:lvlJc w:val="left"/>
      <w:lvlText w:val="(%1)"/>
      <w:numFmt w:val="lowerLetter"/>
      <w:start w:val="5"/>
    </w:lvl>
  </w:abstractNum>
  <w:abstractNum w:abstractNumId="213">
    <w:nsid w:val="41ED20D7"/>
    <w:multiLevelType w:val="hybridMultilevel"/>
    <w:lvl w:ilvl="0">
      <w:lvlJc w:val="left"/>
      <w:lvlText w:val="%1"/>
      <w:numFmt w:val="decimal"/>
      <w:start w:val="1"/>
    </w:lvl>
    <w:lvl w:ilvl="1">
      <w:lvlJc w:val="left"/>
      <w:lvlText w:val="(%2)"/>
      <w:numFmt w:val="lowerLetter"/>
      <w:start w:val="11"/>
    </w:lvl>
  </w:abstractNum>
  <w:abstractNum w:abstractNumId="214">
    <w:nsid w:val="E6B3F6A"/>
    <w:multiLevelType w:val="hybridMultilevel"/>
    <w:lvl w:ilvl="0">
      <w:lvlJc w:val="left"/>
      <w:lvlText w:val="%1."/>
      <w:numFmt w:val="decimal"/>
      <w:start w:val="13"/>
    </w:lvl>
    <w:lvl w:ilvl="1">
      <w:lvlJc w:val="left"/>
      <w:lvlText w:val="%2"/>
      <w:numFmt w:val="lowerLetter"/>
      <w:start w:val="1"/>
    </w:lvl>
  </w:abstractNum>
  <w:abstractNum w:abstractNumId="215">
    <w:nsid w:val="3EB21819"/>
    <w:multiLevelType w:val="hybridMultilevel"/>
    <w:lvl w:ilvl="0">
      <w:lvlJc w:val="left"/>
      <w:lvlText w:val="%1."/>
      <w:numFmt w:val="decimal"/>
      <w:start w:val="15"/>
    </w:lvl>
  </w:abstractNum>
  <w:abstractNum w:abstractNumId="216">
    <w:nsid w:val="41531DED"/>
    <w:multiLevelType w:val="hybridMultilevel"/>
    <w:lvl w:ilvl="0">
      <w:lvlJc w:val="left"/>
      <w:lvlText w:val="%1."/>
      <w:numFmt w:val="decimal"/>
      <w:start w:val="16"/>
    </w:lvl>
  </w:abstractNum>
  <w:abstractNum w:abstractNumId="217">
    <w:nsid w:val="6353CD2"/>
    <w:multiLevelType w:val="hybridMultilevel"/>
    <w:lvl w:ilvl="0">
      <w:lvlJc w:val="left"/>
      <w:lvlText w:val="%1."/>
      <w:numFmt w:val="decimal"/>
      <w:start w:val="23"/>
    </w:lvl>
  </w:abstractNum>
  <w:abstractNum w:abstractNumId="218">
    <w:nsid w:val="683CAAD3"/>
    <w:multiLevelType w:val="hybridMultilevel"/>
    <w:lvl w:ilvl="0">
      <w:lvlJc w:val="left"/>
      <w:lvlText w:val="%1."/>
      <w:numFmt w:val="decimal"/>
      <w:start w:val="1"/>
    </w:lvl>
  </w:abstractNum>
  <w:abstractNum w:abstractNumId="219">
    <w:nsid w:val="313C7C99"/>
    <w:multiLevelType w:val="hybridMultilevel"/>
    <w:lvl w:ilvl="0">
      <w:lvlJc w:val="left"/>
      <w:lvlText w:val="%1."/>
      <w:numFmt w:val="decimal"/>
      <w:start w:val="1"/>
    </w:lvl>
  </w:abstractNum>
  <w:abstractNum w:abstractNumId="220">
    <w:nsid w:val="519EB94C"/>
    <w:multiLevelType w:val="hybridMultilevel"/>
    <w:lvl w:ilvl="0">
      <w:lvlJc w:val="left"/>
      <w:lvlText w:val="%1."/>
      <w:numFmt w:val="decimal"/>
      <w:start w:val="2"/>
    </w:lvl>
  </w:abstractNum>
  <w:abstractNum w:abstractNumId="221">
    <w:nsid w:val="39DF2579"/>
    <w:multiLevelType w:val="hybridMultilevel"/>
    <w:lvl w:ilvl="0">
      <w:lvlJc w:val="left"/>
      <w:lvlText w:val="%1."/>
      <w:numFmt w:val="decimal"/>
      <w:start w:val="4"/>
    </w:lvl>
  </w:abstractNum>
  <w:abstractNum w:abstractNumId="222">
    <w:nsid w:val="126E008B"/>
    <w:multiLevelType w:val="hybridMultilevel"/>
    <w:lvl w:ilvl="0">
      <w:lvlJc w:val="left"/>
      <w:lvlText w:val="%1."/>
      <w:numFmt w:val="decimal"/>
      <w:start w:val="5"/>
    </w:lvl>
  </w:abstractNum>
  <w:abstractNum w:abstractNumId="223">
    <w:nsid w:val="34DFBC00"/>
    <w:multiLevelType w:val="hybridMultilevel"/>
    <w:lvl w:ilvl="0">
      <w:lvlJc w:val="left"/>
      <w:lvlText w:val="%1."/>
      <w:numFmt w:val="decimal"/>
      <w:start w:val="7"/>
    </w:lvl>
  </w:abstractNum>
  <w:abstractNum w:abstractNumId="224">
    <w:nsid w:val="1F9EC322"/>
    <w:multiLevelType w:val="hybridMultilevel"/>
    <w:lvl w:ilvl="0">
      <w:lvlJc w:val="left"/>
      <w:lvlText w:val="%1."/>
      <w:numFmt w:val="decimal"/>
      <w:start w:val="8"/>
    </w:lvl>
  </w:abstractNum>
  <w:abstractNum w:abstractNumId="225">
    <w:nsid w:val="3410ED56"/>
    <w:multiLevelType w:val="hybridMultilevel"/>
    <w:lvl w:ilvl="0">
      <w:lvlJc w:val="left"/>
      <w:lvlText w:val="%1."/>
      <w:numFmt w:val="decimal"/>
      <w:start w:val="10"/>
    </w:lvl>
  </w:abstractNum>
  <w:abstractNum w:abstractNumId="226">
    <w:nsid w:val="23C049A"/>
    <w:multiLevelType w:val="hybridMultilevel"/>
    <w:lvl w:ilvl="0">
      <w:lvlJc w:val="left"/>
      <w:lvlText w:val="%1."/>
      <w:numFmt w:val="decimal"/>
      <w:start w:val="12"/>
    </w:lvl>
  </w:abstractNum>
  <w:abstractNum w:abstractNumId="227">
    <w:nsid w:val="5BDA35D4"/>
    <w:multiLevelType w:val="hybridMultilevel"/>
    <w:lvl w:ilvl="0">
      <w:lvlJc w:val="left"/>
      <w:lvlText w:val="%1."/>
      <w:numFmt w:val="decimal"/>
      <w:start w:val="14"/>
    </w:lvl>
    <w:lvl w:ilvl="1">
      <w:lvlJc w:val="left"/>
      <w:lvlText w:val="(%2)"/>
      <w:numFmt w:val="lowerLetter"/>
      <w:start w:val="3"/>
    </w:lvl>
  </w:abstractNum>
  <w:abstractNum w:abstractNumId="228">
    <w:nsid w:val="496FB218"/>
    <w:multiLevelType w:val="hybridMultilevel"/>
    <w:lvl w:ilvl="0">
      <w:lvlJc w:val="left"/>
      <w:lvlText w:val="%1."/>
      <w:numFmt w:val="decimal"/>
      <w:start w:val="15"/>
    </w:lvl>
  </w:abstractNum>
  <w:abstractNum w:abstractNumId="229">
    <w:nsid w:val="680EA5D1"/>
    <w:multiLevelType w:val="hybridMultilevel"/>
    <w:lvl w:ilvl="0">
      <w:lvlJc w:val="left"/>
      <w:lvlText w:val="%1."/>
      <w:numFmt w:val="decimal"/>
      <w:start w:val="17"/>
    </w:lvl>
  </w:abstractNum>
  <w:abstractNum w:abstractNumId="230">
    <w:nsid w:val="4A9554FE"/>
    <w:multiLevelType w:val="hybridMultilevel"/>
    <w:lvl w:ilvl="0">
      <w:lvlJc w:val="left"/>
      <w:lvlText w:val="%1."/>
      <w:numFmt w:val="decimal"/>
      <w:start w:val="19"/>
    </w:lvl>
  </w:abstractNum>
  <w:abstractNum w:abstractNumId="231">
    <w:nsid w:val="392EDBE4"/>
    <w:multiLevelType w:val="hybridMultilevel"/>
    <w:lvl w:ilvl="0">
      <w:lvlJc w:val="left"/>
      <w:lvlText w:val="[%1]"/>
      <w:numFmt w:val="upperLetter"/>
      <w:start w:val="9"/>
    </w:lvl>
  </w:abstractNum>
  <w:abstractNum w:abstractNumId="232">
    <w:nsid w:val="3D1A2DD9"/>
    <w:multiLevelType w:val="hybridMultilevel"/>
    <w:lvl w:ilvl="0">
      <w:lvlJc w:val="left"/>
      <w:lvlText w:val="%1."/>
      <w:numFmt w:val="decimal"/>
      <w:start w:val="1"/>
    </w:lvl>
  </w:abstractNum>
  <w:abstractNum w:abstractNumId="233">
    <w:nsid w:val="7F618FCD"/>
    <w:multiLevelType w:val="hybridMultilevel"/>
    <w:lvl w:ilvl="0">
      <w:lvlJc w:val="left"/>
      <w:lvlText w:val="%1."/>
      <w:numFmt w:val="decimal"/>
      <w:start w:val="1"/>
    </w:lvl>
  </w:abstractNum>
  <w:abstractNum w:abstractNumId="234">
    <w:nsid w:val="7843E45"/>
    <w:multiLevelType w:val="hybridMultilevel"/>
    <w:lvl w:ilvl="0">
      <w:lvlJc w:val="left"/>
      <w:lvlText w:val="%1."/>
      <w:numFmt w:val="decimal"/>
      <w:start w:val="2"/>
    </w:lvl>
  </w:abstractNum>
  <w:abstractNum w:abstractNumId="235">
    <w:nsid w:val="9815DA3"/>
    <w:multiLevelType w:val="hybridMultilevel"/>
    <w:lvl w:ilvl="0">
      <w:lvlJc w:val="left"/>
      <w:lvlText w:val="%1."/>
      <w:numFmt w:val="decimal"/>
      <w:start w:val="4"/>
    </w:lvl>
  </w:abstractNum>
  <w:abstractNum w:abstractNumId="236">
    <w:nsid w:val="5204A191"/>
    <w:multiLevelType w:val="hybridMultilevel"/>
    <w:lvl w:ilvl="0">
      <w:lvlJc w:val="left"/>
      <w:lvlText w:val="%1."/>
      <w:numFmt w:val="decimal"/>
      <w:start w:val="5"/>
    </w:lvl>
  </w:abstractNum>
  <w:abstractNum w:abstractNumId="237">
    <w:nsid w:val="4C73A9C6"/>
    <w:multiLevelType w:val="hybridMultilevel"/>
    <w:lvl w:ilvl="0">
      <w:lvlJc w:val="left"/>
      <w:lvlText w:val="%1."/>
      <w:numFmt w:val="decimal"/>
      <w:start w:val="7"/>
    </w:lvl>
  </w:abstractNum>
  <w:abstractNum w:abstractNumId="238">
    <w:nsid w:val="1C7E3C01"/>
    <w:multiLevelType w:val="hybridMultilevel"/>
    <w:lvl w:ilvl="0">
      <w:lvlJc w:val="left"/>
      <w:lvlText w:val="%1."/>
      <w:numFmt w:val="decimal"/>
      <w:start w:val="8"/>
    </w:lvl>
  </w:abstractNum>
  <w:abstractNum w:abstractNumId="239">
    <w:nsid w:val="1C2201FF"/>
    <w:multiLevelType w:val="hybridMultilevel"/>
    <w:lvl w:ilvl="0">
      <w:lvlJc w:val="left"/>
      <w:lvlText w:val="%1."/>
      <w:numFmt w:val="decimal"/>
      <w:start w:val="10"/>
    </w:lvl>
  </w:abstractNum>
  <w:abstractNum w:abstractNumId="240">
    <w:nsid w:val="50ABCEC9"/>
    <w:multiLevelType w:val="hybridMultilevel"/>
    <w:lvl w:ilvl="0">
      <w:lvlJc w:val="left"/>
      <w:lvlText w:val="%1."/>
      <w:numFmt w:val="decimal"/>
      <w:start w:val="12"/>
    </w:lvl>
  </w:abstractNum>
  <w:abstractNum w:abstractNumId="241">
    <w:nsid w:val="7635AA2A"/>
    <w:multiLevelType w:val="hybridMultilevel"/>
    <w:lvl w:ilvl="0">
      <w:lvlJc w:val="left"/>
      <w:lvlText w:val="%1."/>
      <w:numFmt w:val="decimal"/>
      <w:start w:val="14"/>
    </w:lvl>
    <w:lvl w:ilvl="1">
      <w:lvlJc w:val="left"/>
      <w:lvlText w:val="(%2)"/>
      <w:numFmt w:val="lowerLetter"/>
      <w:start w:val="3"/>
    </w:lvl>
  </w:abstractNum>
  <w:abstractNum w:abstractNumId="242">
    <w:nsid w:val="5E74C4D9"/>
    <w:multiLevelType w:val="hybridMultilevel"/>
    <w:lvl w:ilvl="0">
      <w:lvlJc w:val="left"/>
      <w:lvlText w:val="%1."/>
      <w:numFmt w:val="decimal"/>
      <w:start w:val="15"/>
    </w:lvl>
  </w:abstractNum>
  <w:abstractNum w:abstractNumId="243">
    <w:nsid w:val="3B3EBE15"/>
    <w:multiLevelType w:val="hybridMultilevel"/>
    <w:lvl w:ilvl="0">
      <w:lvlJc w:val="left"/>
      <w:lvlText w:val="%1."/>
      <w:numFmt w:val="decimal"/>
      <w:start w:val="17"/>
    </w:lvl>
  </w:abstractNum>
  <w:abstractNum w:abstractNumId="244">
    <w:nsid w:val="3822CB01"/>
    <w:multiLevelType w:val="hybridMultilevel"/>
    <w:lvl w:ilvl="0">
      <w:lvlJc w:val="left"/>
      <w:lvlText w:val="%1."/>
      <w:numFmt w:val="decimal"/>
      <w:start w:val="19"/>
    </w:lvl>
  </w:abstractNum>
  <w:abstractNum w:abstractNumId="245">
    <w:nsid w:val="6CE00443"/>
    <w:multiLevelType w:val="hybridMultilevel"/>
    <w:lvl w:ilvl="0">
      <w:lvlJc w:val="left"/>
      <w:lvlText w:val="[%1]"/>
      <w:numFmt w:val="upperLetter"/>
      <w:start w:val="9"/>
    </w:lvl>
  </w:abstractNum>
  <w:abstractNum w:abstractNumId="246">
    <w:nsid w:val="79F0D62F"/>
    <w:multiLevelType w:val="hybridMultilevel"/>
    <w:lvl w:ilvl="0">
      <w:lvlJc w:val="left"/>
      <w:lvlText w:val="%1."/>
      <w:numFmt w:val="decimal"/>
      <w:start w:val="1"/>
    </w:lvl>
  </w:abstractNum>
  <w:abstractNum w:abstractNumId="247">
    <w:nsid w:val="7975E8EE"/>
    <w:multiLevelType w:val="hybridMultilevel"/>
    <w:lvl w:ilvl="0">
      <w:lvlJc w:val="left"/>
      <w:lvlText w:val="%1."/>
      <w:numFmt w:val="decimal"/>
      <w:start w:val="1"/>
    </w:lvl>
  </w:abstractNum>
  <w:abstractNum w:abstractNumId="248">
    <w:nsid w:val="73154115"/>
    <w:multiLevelType w:val="hybridMultilevel"/>
    <w:lvl w:ilvl="0">
      <w:lvlJc w:val="left"/>
      <w:lvlText w:val="%1."/>
      <w:numFmt w:val="decimal"/>
      <w:start w:val="2"/>
    </w:lvl>
  </w:abstractNum>
  <w:abstractNum w:abstractNumId="249">
    <w:nsid w:val="622D8102"/>
    <w:multiLevelType w:val="hybridMultilevel"/>
    <w:lvl w:ilvl="0">
      <w:lvlJc w:val="left"/>
      <w:lvlText w:val="%1."/>
      <w:numFmt w:val="decimal"/>
      <w:start w:val="3"/>
    </w:lvl>
  </w:abstractNum>
  <w:abstractNum w:abstractNumId="250">
    <w:nsid w:val="2AB26587"/>
    <w:multiLevelType w:val="hybridMultilevel"/>
    <w:lvl w:ilvl="0">
      <w:lvlJc w:val="left"/>
      <w:lvlText w:val="%1."/>
      <w:numFmt w:val="decimal"/>
      <w:start w:val="4"/>
    </w:lvl>
  </w:abstractNum>
  <w:abstractNum w:abstractNumId="251">
    <w:nsid w:val="44B3FA61"/>
    <w:multiLevelType w:val="hybridMultilevel"/>
    <w:lvl w:ilvl="0">
      <w:lvlJc w:val="left"/>
      <w:lvlText w:val="%1."/>
      <w:numFmt w:val="decimal"/>
      <w:start w:val="6"/>
    </w:lvl>
  </w:abstractNum>
  <w:abstractNum w:abstractNumId="252">
    <w:nsid w:val="1C0CA67C"/>
    <w:multiLevelType w:val="hybridMultilevel"/>
    <w:lvl w:ilvl="0">
      <w:lvlJc w:val="left"/>
      <w:lvlText w:val="%1."/>
      <w:numFmt w:val="decimal"/>
      <w:start w:val="7"/>
    </w:lvl>
    <w:lvl w:ilvl="1">
      <w:lvlJc w:val="left"/>
      <w:lvlText w:val="(%2)"/>
      <w:numFmt w:val="lowerLetter"/>
      <w:start w:val="3"/>
    </w:lvl>
  </w:abstractNum>
  <w:abstractNum w:abstractNumId="253">
    <w:nsid w:val="3D206613"/>
    <w:multiLevelType w:val="hybridMultilevel"/>
    <w:lvl w:ilvl="0">
      <w:lvlJc w:val="left"/>
      <w:lvlText w:val="%1."/>
      <w:numFmt w:val="decimal"/>
      <w:start w:val="9"/>
    </w:lvl>
  </w:abstractNum>
  <w:abstractNum w:abstractNumId="254">
    <w:nsid w:val="7993B662"/>
    <w:multiLevelType w:val="hybridMultilevel"/>
    <w:lvl w:ilvl="0">
      <w:lvlJc w:val="left"/>
      <w:lvlText w:val="%1."/>
      <w:numFmt w:val="decimal"/>
      <w:start w:val="1"/>
    </w:lvl>
  </w:abstractNum>
  <w:abstractNum w:abstractNumId="255">
    <w:nsid w:val="3BAB699E"/>
    <w:multiLevelType w:val="hybridMultilevel"/>
    <w:lvl w:ilvl="0">
      <w:lvlJc w:val="left"/>
      <w:lvlText w:val="%1."/>
      <w:numFmt w:val="decimal"/>
      <w:start w:val="1"/>
    </w:lvl>
  </w:abstractNum>
  <w:abstractNum w:abstractNumId="256">
    <w:nsid w:val="71315369"/>
    <w:multiLevelType w:val="hybridMultilevel"/>
    <w:lvl w:ilvl="0">
      <w:lvlJc w:val="left"/>
      <w:lvlText w:val="%1."/>
      <w:numFmt w:val="decimal"/>
      <w:start w:val="2"/>
    </w:lvl>
  </w:abstractNum>
  <w:abstractNum w:abstractNumId="257">
    <w:nsid w:val="7BCFBAFC"/>
    <w:multiLevelType w:val="hybridMultilevel"/>
    <w:lvl w:ilvl="0">
      <w:lvlJc w:val="left"/>
      <w:lvlText w:val="%1."/>
      <w:numFmt w:val="decimal"/>
      <w:start w:val="3"/>
    </w:lvl>
  </w:abstractNum>
  <w:abstractNum w:abstractNumId="258">
    <w:nsid w:val="17859F72"/>
    <w:multiLevelType w:val="hybridMultilevel"/>
    <w:lvl w:ilvl="0">
      <w:lvlJc w:val="left"/>
      <w:lvlText w:val="%1."/>
      <w:numFmt w:val="decimal"/>
      <w:start w:val="4"/>
    </w:lvl>
  </w:abstractNum>
  <w:abstractNum w:abstractNumId="259">
    <w:nsid w:val="3AA10581"/>
    <w:multiLevelType w:val="hybridMultilevel"/>
    <w:lvl w:ilvl="0">
      <w:lvlJc w:val="left"/>
      <w:lvlText w:val="%1."/>
      <w:numFmt w:val="decimal"/>
      <w:start w:val="6"/>
    </w:lvl>
  </w:abstractNum>
  <w:abstractNum w:abstractNumId="260">
    <w:nsid w:val="63DE60CD"/>
    <w:multiLevelType w:val="hybridMultilevel"/>
    <w:lvl w:ilvl="0">
      <w:lvlJc w:val="left"/>
      <w:lvlText w:val="%1."/>
      <w:numFmt w:val="decimal"/>
      <w:start w:val="7"/>
    </w:lvl>
    <w:lvl w:ilvl="1">
      <w:lvlJc w:val="left"/>
      <w:lvlText w:val="(%2)"/>
      <w:numFmt w:val="lowerLetter"/>
      <w:start w:val="3"/>
    </w:lvl>
  </w:abstractNum>
  <w:abstractNum w:abstractNumId="261">
    <w:nsid w:val="621AF471"/>
    <w:multiLevelType w:val="hybridMultilevel"/>
    <w:lvl w:ilvl="0">
      <w:lvlJc w:val="left"/>
      <w:lvlText w:val="%1."/>
      <w:numFmt w:val="decimal"/>
      <w:start w:val="9"/>
    </w:lvl>
  </w:abstractNum>
  <w:abstractNum w:abstractNumId="262">
    <w:nsid w:val="73CFE165"/>
    <w:multiLevelType w:val="hybridMultilevel"/>
    <w:lvl w:ilvl="0">
      <w:lvlJc w:val="left"/>
      <w:lvlText w:val="%1."/>
      <w:numFmt w:val="decimal"/>
      <w:start w:val="1"/>
    </w:lvl>
  </w:abstractNum>
  <w:abstractNum w:abstractNumId="263">
    <w:nsid w:val="20F88EA6"/>
    <w:multiLevelType w:val="hybridMultilevel"/>
    <w:lvl w:ilvl="0">
      <w:lvlJc w:val="left"/>
      <w:lvlText w:val="%1."/>
      <w:numFmt w:val="decimal"/>
      <w:start w:val="1"/>
    </w:lvl>
  </w:abstractNum>
  <w:abstractNum w:abstractNumId="264">
    <w:nsid w:val="617C843E"/>
    <w:multiLevelType w:val="hybridMultilevel"/>
    <w:lvl w:ilvl="0">
      <w:lvlJc w:val="left"/>
      <w:lvlText w:val="%1."/>
      <w:numFmt w:val="decimal"/>
      <w:start w:val="2"/>
    </w:lvl>
  </w:abstractNum>
  <w:abstractNum w:abstractNumId="265">
    <w:nsid w:val="7B541FAB"/>
    <w:multiLevelType w:val="hybridMultilevel"/>
    <w:lvl w:ilvl="0">
      <w:lvlJc w:val="left"/>
      <w:lvlText w:val="%1."/>
      <w:numFmt w:val="decimal"/>
      <w:start w:val="4"/>
    </w:lvl>
  </w:abstractNum>
  <w:abstractNum w:abstractNumId="266">
    <w:nsid w:val="2A79EC49"/>
    <w:multiLevelType w:val="hybridMultilevel"/>
    <w:lvl w:ilvl="0">
      <w:lvlJc w:val="left"/>
      <w:lvlText w:val="%1."/>
      <w:numFmt w:val="decimal"/>
      <w:start w:val="5"/>
    </w:lvl>
  </w:abstractNum>
  <w:abstractNum w:abstractNumId="267">
    <w:nsid w:val="338125CF"/>
    <w:multiLevelType w:val="hybridMultilevel"/>
    <w:lvl w:ilvl="0">
      <w:lvlJc w:val="left"/>
      <w:lvlText w:val="%1."/>
      <w:numFmt w:val="decimal"/>
      <w:start w:val="11"/>
    </w:lvl>
  </w:abstractNum>
  <w:abstractNum w:abstractNumId="268">
    <w:nsid w:val="47C7C971"/>
    <w:multiLevelType w:val="hybridMultilevel"/>
    <w:lvl w:ilvl="0">
      <w:lvlJc w:val="left"/>
      <w:lvlText w:val="%1."/>
      <w:numFmt w:val="decimal"/>
      <w:start w:val="1"/>
    </w:lvl>
  </w:abstractNum>
  <w:abstractNum w:abstractNumId="269">
    <w:nsid w:val="46F8284B"/>
    <w:multiLevelType w:val="hybridMultilevel"/>
    <w:lvl w:ilvl="0">
      <w:lvlJc w:val="left"/>
      <w:lvlText w:val="%1."/>
      <w:numFmt w:val="decimal"/>
      <w:start w:val="3"/>
    </w:lvl>
  </w:abstractNum>
  <w:abstractNum w:abstractNumId="270">
    <w:nsid w:val="4FA327CE"/>
    <w:multiLevelType w:val="hybridMultilevel"/>
    <w:lvl w:ilvl="0">
      <w:lvlJc w:val="left"/>
      <w:lvlText w:val="%1."/>
      <w:numFmt w:val="decimal"/>
      <w:start w:val="1"/>
    </w:lvl>
  </w:abstractNum>
  <w:abstractNum w:abstractNumId="271">
    <w:nsid w:val="1873983A"/>
    <w:multiLevelType w:val="hybridMultilevel"/>
    <w:lvl w:ilvl="0">
      <w:lvlJc w:val="left"/>
      <w:lvlText w:val="%1."/>
      <w:numFmt w:val="decimal"/>
      <w:start w:val="2"/>
    </w:lvl>
    <w:lvl w:ilvl="1">
      <w:lvlJc w:val="left"/>
      <w:lvlText w:val="%2)"/>
      <w:numFmt w:val="decimal"/>
      <w:start w:val="1"/>
    </w:lvl>
  </w:abstractNum>
  <w:abstractNum w:abstractNumId="272">
    <w:nsid w:val="3D2DD275"/>
    <w:multiLevelType w:val="hybridMultilevel"/>
    <w:lvl w:ilvl="0">
      <w:lvlJc w:val="left"/>
      <w:lvlText w:val="%1"/>
      <w:numFmt w:val="decimal"/>
      <w:start w:val="1"/>
    </w:lvl>
    <w:lvl w:ilvl="1">
      <w:lvlJc w:val="left"/>
      <w:lvlText w:val="%2)"/>
      <w:numFmt w:val="decimal"/>
      <w:start w:val="2"/>
    </w:lvl>
  </w:abstractNum>
  <w:abstractNum w:abstractNumId="273">
    <w:nsid w:val="2E17ECA7"/>
    <w:multiLevelType w:val="hybridMultilevel"/>
    <w:lvl w:ilvl="0">
      <w:lvlJc w:val="left"/>
      <w:lvlText w:val="%1."/>
      <w:numFmt w:val="decimal"/>
      <w:start w:val="3"/>
    </w:lvl>
    <w:lvl w:ilvl="1">
      <w:lvlJc w:val="left"/>
      <w:lvlText w:val="%2"/>
      <w:numFmt w:val="decimal"/>
      <w:start w:val="1"/>
    </w:lvl>
  </w:abstractNum>
  <w:abstractNum w:abstractNumId="274">
    <w:nsid w:val="53B2564F"/>
    <w:multiLevelType w:val="hybridMultilevel"/>
    <w:lvl w:ilvl="0">
      <w:lvlJc w:val="left"/>
      <w:lvlText w:val="%1."/>
      <w:numFmt w:val="decimal"/>
      <w:start w:val="4"/>
    </w:lvl>
    <w:lvl w:ilvl="1">
      <w:lvlJc w:val="left"/>
      <w:lvlText w:val="%2)"/>
      <w:numFmt w:val="decimal"/>
      <w:start w:val="1"/>
    </w:lvl>
  </w:abstractNum>
  <w:abstractNum w:abstractNumId="275">
    <w:nsid w:val="75509D76"/>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276">
    <w:nsid w:val="1AF7F0EA"/>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abstractNum>
  <w:abstractNum w:abstractNumId="277">
    <w:nsid w:val="4DA32C7E"/>
    <w:multiLevelType w:val="hybridMultilevel"/>
    <w:lvl w:ilvl="0">
      <w:lvlJc w:val="left"/>
      <w:lvlText w:val="%1."/>
      <w:numFmt w:val="decimal"/>
      <w:start w:val="7"/>
    </w:lvl>
    <w:lvl w:ilvl="1">
      <w:lvlJc w:val="left"/>
      <w:lvlText w:val="%2)"/>
      <w:numFmt w:val="decimal"/>
      <w:start w:val="1"/>
    </w:lvl>
  </w:abstractNum>
  <w:abstractNum w:abstractNumId="278">
    <w:nsid w:val="6EC68664"/>
    <w:multiLevelType w:val="hybridMultilevel"/>
    <w:lvl w:ilvl="0">
      <w:lvlJc w:val="left"/>
      <w:lvlText w:val="%1."/>
      <w:numFmt w:val="decimal"/>
      <w:start w:val="10"/>
    </w:lvl>
  </w:abstractNum>
  <w:abstractNum w:abstractNumId="279">
    <w:nsid w:val="E0D31FF"/>
    <w:multiLevelType w:val="hybridMultilevel"/>
    <w:lvl w:ilvl="0">
      <w:lvlJc w:val="left"/>
      <w:lvlText w:val="%1."/>
      <w:numFmt w:val="decimal"/>
      <w:start w:val="11"/>
    </w:lvl>
    <w:lvl w:ilvl="1">
      <w:lvlJc w:val="left"/>
      <w:lvlText w:val="%2)"/>
      <w:numFmt w:val="decimal"/>
      <w:start w:val="1"/>
    </w:lvl>
  </w:abstractNum>
  <w:abstractNum w:abstractNumId="280">
    <w:nsid w:val="2FD0AD81"/>
    <w:multiLevelType w:val="hybridMultilevel"/>
    <w:lvl w:ilvl="0">
      <w:lvlJc w:val="left"/>
      <w:lvlText w:val="%1)"/>
      <w:numFmt w:val="decimal"/>
      <w:start w:val="1"/>
    </w:lvl>
    <w:lvl w:ilvl="1">
      <w:lvlJc w:val="left"/>
      <w:lvlText w:val="(%2)"/>
      <w:numFmt w:val="decimal"/>
      <w:start w:val="1"/>
    </w:lvl>
  </w:abstractNum>
  <w:abstractNum w:abstractNumId="281">
    <w:nsid w:val="1978EBEB"/>
    <w:multiLevelType w:val="hybridMultilevel"/>
    <w:lvl w:ilvl="0">
      <w:lvlJc w:val="left"/>
      <w:lvlText w:val="%1)"/>
      <w:numFmt w:val="decimal"/>
      <w:start w:val="1"/>
    </w:lvl>
  </w:abstractNum>
  <w:abstractNum w:abstractNumId="282">
    <w:nsid w:val="52C12C61"/>
    <w:multiLevelType w:val="hybridMultilevel"/>
    <w:lvl w:ilvl="0">
      <w:lvlJc w:val="left"/>
      <w:lvlText w:val="%1)"/>
      <w:numFmt w:val="decimal"/>
      <w:start w:val="4"/>
    </w:lvl>
    <w:lvl w:ilvl="1">
      <w:lvlJc w:val="left"/>
      <w:lvlText w:val="(%2)"/>
      <w:numFmt w:val="decimal"/>
      <w:start w:val="1"/>
    </w:lvl>
  </w:abstractNum>
  <w:abstractNum w:abstractNumId="283">
    <w:nsid w:val="4BDD53FD"/>
    <w:multiLevelType w:val="hybridMultilevel"/>
    <w:lvl w:ilvl="0">
      <w:lvlJc w:val="left"/>
      <w:lvlText w:val="%1."/>
      <w:numFmt w:val="decimal"/>
      <w:start w:val="1"/>
    </w:lvl>
    <w:lvl w:ilvl="1">
      <w:lvlJc w:val="left"/>
      <w:lvlText w:val="(%2)"/>
      <w:numFmt w:val="lowerLetter"/>
      <w:start w:val="1"/>
    </w:lvl>
  </w:abstractNum>
  <w:abstractNum w:abstractNumId="284">
    <w:nsid w:val="569951FE"/>
    <w:multiLevelType w:val="hybridMultilevel"/>
    <w:lvl w:ilvl="0">
      <w:lvlJc w:val="left"/>
      <w:lvlText w:val="(%1)"/>
      <w:numFmt w:val="lowerLetter"/>
      <w:start w:val="2"/>
    </w:lvl>
  </w:abstractNum>
  <w:abstractNum w:abstractNumId="285">
    <w:nsid w:val="4C54E2C3"/>
    <w:multiLevelType w:val="hybridMultilevel"/>
    <w:lvl w:ilvl="0">
      <w:lvlJc w:val="left"/>
      <w:lvlText w:val="%1."/>
      <w:numFmt w:val="decimal"/>
      <w:start w:val="6"/>
    </w:lvl>
    <w:lvl w:ilvl="1">
      <w:lvlJc w:val="left"/>
      <w:lvlText w:val="(%2)"/>
      <w:numFmt w:val="lowerLetter"/>
      <w:start w:val="1"/>
    </w:lvl>
  </w:abstractNum>
  <w:abstractNum w:abstractNumId="286">
    <w:nsid w:val="788BD9B"/>
    <w:multiLevelType w:val="hybridMultilevel"/>
    <w:lvl w:ilvl="0">
      <w:lvlJc w:val="left"/>
      <w:lvlText w:val="%1."/>
      <w:numFmt w:val="decimal"/>
      <w:start w:val="1"/>
    </w:lvl>
    <w:lvl w:ilvl="1">
      <w:lvlJc w:val="left"/>
      <w:lvlText w:val="(%2)"/>
      <w:numFmt w:val="lowerLetter"/>
      <w:start w:val="1"/>
    </w:lvl>
  </w:abstractNum>
  <w:abstractNum w:abstractNumId="287">
    <w:nsid w:val="47CAA567"/>
    <w:multiLevelType w:val="hybridMultilevel"/>
    <w:lvl w:ilvl="0">
      <w:lvlJc w:val="left"/>
      <w:lvlText w:val="(%1)"/>
      <w:numFmt w:val="lowerLetter"/>
      <w:start w:val="1"/>
    </w:lvl>
  </w:abstractNum>
  <w:abstractNum w:abstractNumId="288">
    <w:nsid w:val="48249DBF"/>
    <w:multiLevelType w:val="hybridMultilevel"/>
    <w:lvl w:ilvl="0">
      <w:lvlJc w:val="left"/>
      <w:lvlText w:val="(%1)"/>
      <w:numFmt w:val="lowerLetter"/>
      <w:start w:val="6"/>
    </w:lvl>
  </w:abstractNum>
  <w:abstractNum w:abstractNumId="289">
    <w:nsid w:val="1F0E5D0D"/>
    <w:multiLevelType w:val="hybridMultilevel"/>
    <w:lvl w:ilvl="0">
      <w:lvlJc w:val="left"/>
      <w:lvlText w:val="%1."/>
      <w:numFmt w:val="decimal"/>
      <w:start w:val="6"/>
    </w:lvl>
    <w:lvl w:ilvl="1">
      <w:lvlJc w:val="left"/>
      <w:lvlText w:val="(%2)"/>
      <w:numFmt w:val="lowerLetter"/>
      <w:start w:val="1"/>
    </w:lvl>
  </w:abstractNum>
  <w:abstractNum w:abstractNumId="290">
    <w:nsid w:val="26BAAE9"/>
    <w:multiLevelType w:val="hybridMultilevel"/>
    <w:lvl w:ilvl="0">
      <w:lvlJc w:val="left"/>
      <w:lvlText w:val="(%1)"/>
      <w:numFmt w:val="decimal"/>
      <w:start w:val="1"/>
    </w:lvl>
  </w:abstractNum>
  <w:abstractNum w:abstractNumId="291">
    <w:nsid w:val="2C02FE8C"/>
    <w:multiLevelType w:val="hybridMultilevel"/>
    <w:lvl w:ilvl="0">
      <w:lvlJc w:val="left"/>
      <w:lvlText w:val="(%1)"/>
      <w:numFmt w:val="decimal"/>
      <w:start w:val="3"/>
    </w:lvl>
  </w:abstractNum>
  <w:abstractNum w:abstractNumId="292">
    <w:nsid w:val="129517E"/>
    <w:multiLevelType w:val="hybridMultilevel"/>
    <w:lvl w:ilvl="0">
      <w:lvlJc w:val="left"/>
      <w:lvlText w:val="(%1)"/>
      <w:numFmt w:val="upperLetter"/>
      <w:start w:val="1"/>
    </w:lvl>
  </w:abstractNum>
  <w:abstractNum w:abstractNumId="293">
    <w:nsid w:val="763B8C4E"/>
    <w:multiLevelType w:val="hybridMultilevel"/>
    <w:lvl w:ilvl="0">
      <w:lvlJc w:val="left"/>
      <w:lvlText w:val="%1."/>
      <w:numFmt w:val="decimal"/>
      <w:start w:val="1"/>
    </w:lvl>
    <w:lvl w:ilvl="1">
      <w:lvlJc w:val="left"/>
      <w:lvlText w:val="(%2)"/>
      <w:numFmt w:val="lowerLetter"/>
      <w:start w:val="1"/>
    </w:lvl>
  </w:abstractNum>
  <w:abstractNum w:abstractNumId="294">
    <w:nsid w:val="4CFB8D32"/>
    <w:multiLevelType w:val="hybridMultilevel"/>
    <w:lvl w:ilvl="0">
      <w:lvlJc w:val="left"/>
      <w:lvlText w:val="(%1)"/>
      <w:numFmt w:val="lowerLetter"/>
      <w:start w:val="1"/>
    </w:lvl>
  </w:abstractNum>
  <w:abstractNum w:abstractNumId="295">
    <w:nsid w:val="62A5D5BD"/>
    <w:multiLevelType w:val="hybridMultilevel"/>
    <w:lvl w:ilvl="0">
      <w:lvlJc w:val="left"/>
      <w:lvlText w:val="(%1)"/>
      <w:numFmt w:val="lowerLetter"/>
      <w:start w:val="2"/>
    </w:lvl>
  </w:abstractNum>
  <w:abstractNum w:abstractNumId="296">
    <w:nsid w:val="718FABF9"/>
    <w:multiLevelType w:val="hybridMultilevel"/>
    <w:lvl w:ilvl="0">
      <w:lvlJc w:val="left"/>
      <w:lvlText w:val="%1."/>
      <w:numFmt w:val="decimal"/>
      <w:start w:val="2"/>
    </w:lvl>
    <w:lvl w:ilvl="1">
      <w:lvlJc w:val="left"/>
      <w:lvlText w:val="(%2)"/>
      <w:numFmt w:val="lowerLetter"/>
      <w:start w:val="1"/>
    </w:lvl>
  </w:abstractNum>
  <w:abstractNum w:abstractNumId="297">
    <w:nsid w:val="7775797C"/>
    <w:multiLevelType w:val="hybridMultilevel"/>
    <w:lvl w:ilvl="0">
      <w:lvlJc w:val="left"/>
      <w:lvlText w:val="(%1)"/>
      <w:numFmt w:val="lowerLetter"/>
      <w:start w:val="4"/>
    </w:lvl>
  </w:abstractNum>
  <w:abstractNum w:abstractNumId="298">
    <w:nsid w:val="1626FB8C"/>
    <w:multiLevelType w:val="hybridMultilevel"/>
    <w:lvl w:ilvl="0">
      <w:lvlJc w:val="left"/>
      <w:lvlText w:val="%1"/>
      <w:numFmt w:val="decimal"/>
      <w:start w:val="1"/>
    </w:lvl>
    <w:lvl w:ilvl="1">
      <w:lvlJc w:val="left"/>
      <w:lvlText w:val="(%2)"/>
      <w:numFmt w:val="lowerLetter"/>
      <w:start w:val="1"/>
    </w:lvl>
  </w:abstractNum>
  <w:abstractNum w:abstractNumId="299">
    <w:nsid w:val="3957756A"/>
    <w:multiLevelType w:val="hybridMultilevel"/>
    <w:lvl w:ilvl="0">
      <w:lvlJc w:val="left"/>
      <w:lvlText w:val="%1."/>
      <w:numFmt w:val="decimal"/>
      <w:start w:val="3"/>
    </w:lvl>
    <w:lvl w:ilvl="1">
      <w:lvlJc w:val="left"/>
      <w:lvlText w:val="%2"/>
      <w:numFmt w:val="lowerLetter"/>
      <w:start w:val="1"/>
    </w:lvl>
  </w:abstractNum>
  <w:abstractNum w:abstractNumId="300">
    <w:nsid w:val="3E6DA1C7"/>
    <w:multiLevelType w:val="hybridMultilevel"/>
    <w:lvl w:ilvl="0">
      <w:lvlJc w:val="left"/>
      <w:lvlText w:val="(%1)"/>
      <w:numFmt w:val="lowerLetter"/>
      <w:start w:val="1"/>
    </w:lvl>
  </w:abstractNum>
  <w:abstractNum w:abstractNumId="301">
    <w:nsid w:val="65CA235B"/>
    <w:multiLevelType w:val="hybridMultilevel"/>
    <w:lvl w:ilvl="0">
      <w:lvlJc w:val="left"/>
      <w:lvlText w:val="(%1)"/>
      <w:numFmt w:val="lowerLetter"/>
      <w:start w:val="2"/>
    </w:lvl>
  </w:abstractNum>
  <w:abstractNum w:abstractNumId="302">
    <w:nsid w:val="51CB0DA4"/>
    <w:multiLevelType w:val="hybridMultilevel"/>
    <w:lvl w:ilvl="0">
      <w:lvlJc w:val="left"/>
      <w:lvlText w:val="(%1)"/>
      <w:numFmt w:val="lowerLetter"/>
      <w:start w:val="1"/>
    </w:lvl>
  </w:abstractNum>
  <w:abstractNum w:abstractNumId="303">
    <w:nsid w:val="7B9B743C"/>
    <w:multiLevelType w:val="hybridMultilevel"/>
    <w:lvl w:ilvl="0">
      <w:lvlJc w:val="left"/>
      <w:lvlText w:val="%1"/>
      <w:numFmt w:val="decimal"/>
      <w:start w:val="1"/>
    </w:lvl>
    <w:lvl w:ilvl="1">
      <w:lvlJc w:val="left"/>
      <w:lvlText w:val="(%2)"/>
      <w:numFmt w:val="lowerLetter"/>
      <w:start w:val="10"/>
    </w:lvl>
  </w:abstractNum>
  <w:abstractNum w:abstractNumId="304">
    <w:nsid w:val="13E21002"/>
    <w:multiLevelType w:val="hybridMultilevel"/>
    <w:lvl w:ilvl="0">
      <w:lvlJc w:val="left"/>
      <w:lvlText w:val="%1."/>
      <w:numFmt w:val="decimal"/>
      <w:start w:val="4"/>
    </w:lvl>
    <w:lvl w:ilvl="1">
      <w:lvlJc w:val="left"/>
      <w:lvlText w:val="%2"/>
      <w:numFmt w:val="lowerLetter"/>
      <w:start w:val="1"/>
    </w:lvl>
  </w:abstractNum>
  <w:abstractNum w:abstractNumId="305">
    <w:nsid w:val="257D63F4"/>
    <w:multiLevelType w:val="hybridMultilevel"/>
    <w:lvl w:ilvl="0">
      <w:lvlJc w:val="left"/>
      <w:lvlText w:val="%1."/>
      <w:numFmt w:val="decimal"/>
      <w:start w:val="6"/>
    </w:lvl>
  </w:abstractNum>
  <w:abstractNum w:abstractNumId="306">
    <w:nsid w:val="70EC11B2"/>
    <w:multiLevelType w:val="hybridMultilevel"/>
    <w:lvl w:ilvl="0">
      <w:lvlJc w:val="left"/>
      <w:lvlText w:val="%1."/>
      <w:numFmt w:val="decimal"/>
      <w:start w:val="8"/>
    </w:lvl>
  </w:abstractNum>
  <w:abstractNum w:abstractNumId="307">
    <w:nsid w:val="2EDA00ED"/>
    <w:multiLevelType w:val="hybridMultilevel"/>
    <w:lvl w:ilvl="0">
      <w:lvlJc w:val="left"/>
      <w:lvlText w:val="%1."/>
      <w:numFmt w:val="decimal"/>
      <w:start w:val="1"/>
    </w:lvl>
  </w:abstractNum>
  <w:abstractNum w:abstractNumId="308">
    <w:nsid w:val="73209072"/>
    <w:multiLevelType w:val="hybridMultilevel"/>
    <w:lvl w:ilvl="0">
      <w:lvlJc w:val="left"/>
      <w:lvlText w:val="%1."/>
      <w:numFmt w:val="decimal"/>
      <w:start w:val="4"/>
    </w:lvl>
  </w:abstractNum>
  <w:abstractNum w:abstractNumId="309">
    <w:nsid w:val="5FB29816"/>
    <w:multiLevelType w:val="hybridMultilevel"/>
    <w:lvl w:ilvl="0">
      <w:lvlJc w:val="left"/>
      <w:lvlText w:val="(%1)"/>
      <w:numFmt w:val="decimal"/>
      <w:start w:val="1"/>
    </w:lvl>
  </w:abstractNum>
  <w:abstractNum w:abstractNumId="310">
    <w:nsid w:val="3CE732EC"/>
    <w:multiLevelType w:val="hybridMultilevel"/>
    <w:lvl w:ilvl="0">
      <w:lvlJc w:val="left"/>
      <w:lvlText w:val="(%1)"/>
      <w:numFmt w:val="upperLetter"/>
      <w:start w:val="1"/>
    </w:lvl>
  </w:abstractNum>
  <w:abstractNum w:abstractNumId="311">
    <w:nsid w:val="22F13DF3"/>
    <w:multiLevelType w:val="hybridMultilevel"/>
    <w:lvl w:ilvl="0">
      <w:lvlJc w:val="left"/>
      <w:lvlText w:val="%1."/>
      <w:numFmt w:val="decimal"/>
      <w:start w:val="1"/>
    </w:lvl>
  </w:abstractNum>
  <w:abstractNum w:abstractNumId="312">
    <w:nsid w:val="792B8401"/>
    <w:multiLevelType w:val="hybridMultilevel"/>
    <w:lvl w:ilvl="0">
      <w:lvlJc w:val="left"/>
      <w:lvlText w:val="(%1)"/>
      <w:numFmt w:val="decimal"/>
      <w:start w:val="1"/>
    </w:lvl>
  </w:abstractNum>
  <w:abstractNum w:abstractNumId="313">
    <w:nsid w:val="FA85F4D"/>
    <w:multiLevelType w:val="hybridMultilevel"/>
    <w:lvl w:ilvl="0">
      <w:lvlJc w:val="left"/>
      <w:lvlText w:val="%1."/>
      <w:numFmt w:val="decimal"/>
      <w:start w:val="2"/>
    </w:lvl>
  </w:abstractNum>
  <w:abstractNum w:abstractNumId="314">
    <w:nsid w:val="6ECE91F0"/>
    <w:multiLevelType w:val="hybridMultilevel"/>
    <w:lvl w:ilvl="0">
      <w:lvlJc w:val="left"/>
      <w:lvlText w:val="(%1)"/>
      <w:numFmt w:val="upperLetter"/>
      <w:start w:val="1"/>
    </w:lvl>
  </w:abstractNum>
  <w:abstractNum w:abstractNumId="315">
    <w:nsid w:val="4FC4D600"/>
    <w:multiLevelType w:val="hybridMultilevel"/>
    <w:lvl w:ilvl="0">
      <w:lvlJc w:val="left"/>
      <w:lvlText w:val="%1."/>
      <w:numFmt w:val="decimal"/>
      <w:start w:val="3"/>
    </w:lvl>
    <w:lvl w:ilvl="1">
      <w:lvlJc w:val="left"/>
      <w:lvlText w:val="(%2)"/>
      <w:numFmt w:val="decimal"/>
      <w:start w:val="1"/>
    </w:lvl>
  </w:abstractNum>
  <w:abstractNum w:abstractNumId="316">
    <w:nsid w:val="5BFD4210"/>
    <w:multiLevelType w:val="hybridMultilevel"/>
    <w:lvl w:ilvl="0">
      <w:lvlJc w:val="left"/>
      <w:lvlText w:val="(%1)"/>
      <w:numFmt w:val="decimal"/>
      <w:start w:val="2"/>
    </w:lvl>
  </w:abstractNum>
  <w:abstractNum w:abstractNumId="317">
    <w:nsid w:val="76574F8B"/>
    <w:multiLevelType w:val="hybridMultilevel"/>
    <w:lvl w:ilvl="0">
      <w:lvlJc w:val="left"/>
      <w:lvlText w:val="%1."/>
      <w:numFmt w:val="decimal"/>
      <w:start w:val="5"/>
    </w:lvl>
    <w:lvl w:ilvl="1">
      <w:lvlJc w:val="left"/>
      <w:lvlText w:val="(%2)"/>
      <w:numFmt w:val="lowerLetter"/>
      <w:start w:val="1"/>
    </w:lvl>
  </w:abstractNum>
  <w:abstractNum w:abstractNumId="318">
    <w:nsid w:val="178F7B67"/>
    <w:multiLevelType w:val="hybridMultilevel"/>
    <w:lvl w:ilvl="0">
      <w:lvlJc w:val="left"/>
      <w:lvlText w:val="(%1)"/>
      <w:numFmt w:val="lowerLetter"/>
      <w:start w:val="6"/>
    </w:lvl>
  </w:abstractNum>
  <w:abstractNum w:abstractNumId="319">
    <w:nsid w:val="2421DFCF"/>
    <w:multiLevelType w:val="hybridMultilevel"/>
    <w:lvl w:ilvl="0">
      <w:lvlJc w:val="left"/>
      <w:lvlText w:val="(%1)"/>
      <w:numFmt w:val="lowerLetter"/>
      <w:start w:val="1"/>
    </w:lvl>
  </w:abstractNum>
  <w:abstractNum w:abstractNumId="320">
    <w:nsid w:val="1565AC99"/>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321">
    <w:nsid w:val="19FB2650"/>
    <w:multiLevelType w:val="hybridMultilevel"/>
    <w:lvl w:ilvl="0">
      <w:lvlJc w:val="left"/>
      <w:lvlText w:val="%1"/>
      <w:numFmt w:val="decimal"/>
      <w:start w:val="1"/>
    </w:lvl>
    <w:lvl w:ilvl="1">
      <w:lvlJc w:val="left"/>
      <w:lvlText w:val="(%2)"/>
      <w:numFmt w:val="decimal"/>
      <w:start w:val="2"/>
    </w:lvl>
  </w:abstractNum>
  <w:abstractNum w:abstractNumId="322">
    <w:nsid w:val="5024DE5B"/>
    <w:multiLevelType w:val="hybridMultilevel"/>
    <w:lvl w:ilvl="0">
      <w:lvlJc w:val="left"/>
      <w:lvlText w:val="%1."/>
      <w:numFmt w:val="decimal"/>
      <w:start w:val="9"/>
    </w:lvl>
    <w:lvl w:ilvl="1">
      <w:lvlJc w:val="left"/>
      <w:lvlText w:val="%2"/>
      <w:numFmt w:val="decimal"/>
      <w:start w:val="1"/>
    </w:lvl>
  </w:abstractNum>
  <w:abstractNum w:abstractNumId="323">
    <w:nsid w:val="168EFE17"/>
    <w:multiLevelType w:val="hybridMultilevel"/>
    <w:lvl w:ilvl="0">
      <w:lvlJc w:val="left"/>
      <w:lvlText w:val="%1."/>
      <w:numFmt w:val="decimal"/>
      <w:start w:val="11"/>
    </w:lvl>
    <w:lvl w:ilvl="1">
      <w:lvlJc w:val="left"/>
      <w:lvlText w:val="(%2)"/>
      <w:numFmt w:val="decimal"/>
      <w:start w:val="3"/>
    </w:lvl>
  </w:abstractNum>
  <w:abstractNum w:abstractNumId="324">
    <w:nsid w:val="1036B29F"/>
    <w:multiLevelType w:val="hybridMultilevel"/>
    <w:lvl w:ilvl="0">
      <w:lvlJc w:val="left"/>
      <w:lvlText w:val="%1."/>
      <w:numFmt w:val="decimal"/>
      <w:start w:val="13"/>
    </w:lvl>
  </w:abstractNum>
  <w:abstractNum w:abstractNumId="325">
    <w:nsid w:val="1D206B8E"/>
    <w:multiLevelType w:val="hybridMultilevel"/>
    <w:lvl w:ilvl="0">
      <w:lvlJc w:val="left"/>
      <w:lvlText w:val="(%1)"/>
      <w:numFmt w:val="decimal"/>
      <w:start w:val="1"/>
    </w:lvl>
  </w:abstractNum>
  <w:abstractNum w:abstractNumId="326">
    <w:nsid w:val="7934D3D4"/>
    <w:multiLevelType w:val="hybridMultilevel"/>
    <w:lvl w:ilvl="0">
      <w:lvlJc w:val="left"/>
      <w:lvlText w:val="%1."/>
      <w:numFmt w:val="decimal"/>
      <w:start w:val="1"/>
    </w:lvl>
    <w:lvl w:ilvl="1">
      <w:lvlJc w:val="left"/>
      <w:lvlText w:val="(%2)"/>
      <w:numFmt w:val="lowerLetter"/>
      <w:start w:val="1"/>
    </w:lvl>
  </w:abstractNum>
  <w:abstractNum w:abstractNumId="327">
    <w:nsid w:val="1C65E98"/>
    <w:multiLevelType w:val="hybridMultilevel"/>
    <w:lvl w:ilvl="0">
      <w:lvlJc w:val="left"/>
      <w:lvlText w:val="%1."/>
      <w:numFmt w:val="decimal"/>
      <w:start w:val="1"/>
    </w:lvl>
    <w:lvl w:ilvl="1">
      <w:lvlJc w:val="left"/>
      <w:lvlText w:val="(%2)"/>
      <w:numFmt w:val="lowerLetter"/>
      <w:start w:val="1"/>
    </w:lvl>
  </w:abstractNum>
  <w:abstractNum w:abstractNumId="328">
    <w:nsid w:val="1495E50A"/>
    <w:multiLevelType w:val="hybridMultilevel"/>
    <w:lvl w:ilvl="0">
      <w:lvlJc w:val="left"/>
      <w:lvlText w:val="%1."/>
      <w:numFmt w:val="decimal"/>
      <w:start w:val="1"/>
    </w:lvl>
  </w:abstractNum>
  <w:abstractNum w:abstractNumId="329">
    <w:nsid w:val="F5BCF61"/>
    <w:multiLevelType w:val="hybridMultilevel"/>
    <w:lvl w:ilvl="0">
      <w:lvlJc w:val="left"/>
      <w:lvlText w:val="%1."/>
      <w:numFmt w:val="decimal"/>
      <w:start w:val="1"/>
    </w:lvl>
  </w:abstractNum>
  <w:abstractNum w:abstractNumId="330">
    <w:nsid w:val="3B1DD403"/>
    <w:multiLevelType w:val="hybridMultilevel"/>
    <w:lvl w:ilvl="0">
      <w:lvlJc w:val="left"/>
      <w:lvlText w:val="(%1)"/>
      <w:numFmt w:val="lowerRoman"/>
      <w:start w:val="3"/>
    </w:lvl>
  </w:abstractNum>
  <w:abstractNum w:abstractNumId="331">
    <w:nsid w:val="530386D1"/>
    <w:multiLevelType w:val="hybridMultilevel"/>
    <w:lvl w:ilvl="0">
      <w:lvlJc w:val="left"/>
      <w:lvlText w:val="%1."/>
      <w:numFmt w:val="decimal"/>
      <w:start w:val="1"/>
    </w:lvl>
  </w:abstractNum>
  <w:abstractNum w:abstractNumId="332">
    <w:nsid w:val="7525F2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5"/>
    </w:lvl>
  </w:abstractNum>
  <w:abstractNum w:abstractNumId="333">
    <w:nsid w:val="CE8E1A7"/>
    <w:multiLevelType w:val="hybridMultilevel"/>
    <w:lvl w:ilvl="0">
      <w:lvlJc w:val="left"/>
      <w:lvlText w:val="%1."/>
      <w:numFmt w:val="decimal"/>
      <w:start w:val="6"/>
    </w:lvl>
    <w:lvl w:ilvl="1">
      <w:lvlJc w:val="left"/>
      <w:lvlText w:val="%2."/>
      <w:numFmt w:val="lowerLetter"/>
      <w:start w:val="1"/>
    </w:lvl>
  </w:abstractNum>
  <w:abstractNum w:abstractNumId="334">
    <w:nsid w:val="4E9EFB0D"/>
    <w:multiLevelType w:val="hybridMultilevel"/>
    <w:lvl w:ilvl="0">
      <w:lvlJc w:val="left"/>
      <w:lvlText w:val="%1."/>
      <w:numFmt w:val="decimal"/>
      <w:start w:val="17"/>
    </w:lvl>
  </w:abstractNum>
  <w:abstractNum w:abstractNumId="335">
    <w:nsid w:val="90802BE"/>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2019-12-07T14:48:25Z</dcterms:created>
  <dcterms:modified xsi:type="dcterms:W3CDTF">2019-12-07T14:48:25Z</dcterms:modified>
</cp:coreProperties>
</file>